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6F4" w:rsidRPr="004C5C1D" w:rsidRDefault="009C06F4" w:rsidP="007D675D">
      <w:pPr>
        <w:autoSpaceDE w:val="0"/>
        <w:autoSpaceDN w:val="0"/>
        <w:adjustRightInd w:val="0"/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                                                                </w:t>
      </w:r>
    </w:p>
    <w:p w:rsidR="009C06F4" w:rsidRPr="00FC54A0" w:rsidRDefault="009C06F4" w:rsidP="00FC54A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54A0">
        <w:rPr>
          <w:rFonts w:ascii="Times New Roman" w:eastAsia="Calibri" w:hAnsi="Times New Roman" w:cs="Times New Roman"/>
          <w:sz w:val="28"/>
          <w:szCs w:val="28"/>
        </w:rPr>
        <w:t>Доклад</w:t>
      </w:r>
    </w:p>
    <w:p w:rsidR="009C06F4" w:rsidRPr="00FC54A0" w:rsidRDefault="009C06F4" w:rsidP="00FC54A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54A0">
        <w:rPr>
          <w:rFonts w:ascii="Times New Roman" w:eastAsia="Calibri" w:hAnsi="Times New Roman" w:cs="Times New Roman"/>
          <w:sz w:val="28"/>
          <w:szCs w:val="28"/>
        </w:rPr>
        <w:t xml:space="preserve">об антимонопольном </w:t>
      </w:r>
      <w:proofErr w:type="spellStart"/>
      <w:r w:rsidRPr="00FC54A0">
        <w:rPr>
          <w:rFonts w:ascii="Times New Roman" w:eastAsia="Calibri" w:hAnsi="Times New Roman" w:cs="Times New Roman"/>
          <w:sz w:val="28"/>
          <w:szCs w:val="28"/>
        </w:rPr>
        <w:t>комплаенсе</w:t>
      </w:r>
      <w:proofErr w:type="spellEnd"/>
      <w:r w:rsidRPr="00FC54A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06F4" w:rsidRPr="00FC54A0" w:rsidRDefault="009C06F4" w:rsidP="00FC54A0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C6545A" w:rsidRDefault="009C06F4" w:rsidP="00E8530E">
      <w:pPr>
        <w:spacing w:after="0" w:line="228" w:lineRule="auto"/>
        <w:ind w:left="-284" w:right="50" w:firstLine="708"/>
        <w:jc w:val="both"/>
        <w:rPr>
          <w:sz w:val="28"/>
          <w:szCs w:val="28"/>
        </w:rPr>
      </w:pPr>
      <w:proofErr w:type="gramStart"/>
      <w:r w:rsidRPr="00FC54A0">
        <w:rPr>
          <w:rFonts w:ascii="Times New Roman" w:hAnsi="Times New Roman" w:cs="Times New Roman"/>
          <w:sz w:val="28"/>
          <w:szCs w:val="28"/>
        </w:rPr>
        <w:t xml:space="preserve">Во  исполнение Указа Президента Российской Федерации от 21.12.2017 года № 618 «Об основных  направлениях государственной политики по развитию конкуренции», </w:t>
      </w:r>
      <w:r w:rsidRPr="00FC54A0">
        <w:rPr>
          <w:rFonts w:ascii="Times New Roman" w:hAnsi="Times New Roman" w:cs="Times New Roman"/>
          <w:spacing w:val="3"/>
          <w:sz w:val="28"/>
          <w:szCs w:val="28"/>
        </w:rPr>
        <w:t>постановления Администрации Великого Новгорода от 16.11.2020 № 4405 «</w:t>
      </w:r>
      <w:r w:rsidRPr="00FC54A0">
        <w:rPr>
          <w:rFonts w:ascii="Times New Roman" w:hAnsi="Times New Roman" w:cs="Times New Roman"/>
          <w:bCs/>
          <w:color w:val="000000"/>
          <w:sz w:val="28"/>
          <w:szCs w:val="28"/>
        </w:rPr>
        <w:t>О создании системы внутреннего обеспечения соответствия требованиям антимонопольного законодательства в Администрации Великого Новгорода</w:t>
      </w:r>
      <w:r w:rsidRPr="00FC54A0">
        <w:rPr>
          <w:rFonts w:ascii="Times New Roman" w:hAnsi="Times New Roman" w:cs="Times New Roman"/>
          <w:spacing w:val="3"/>
          <w:sz w:val="28"/>
          <w:szCs w:val="28"/>
        </w:rPr>
        <w:t xml:space="preserve">», в комитете по опеке и попечительству Великого Новгорода (далее – Комитет) внедрена </w:t>
      </w:r>
      <w:r w:rsidRPr="00FC54A0">
        <w:rPr>
          <w:rFonts w:ascii="Times New Roman" w:hAnsi="Times New Roman" w:cs="Times New Roman"/>
          <w:sz w:val="28"/>
          <w:szCs w:val="28"/>
        </w:rPr>
        <w:t>система внутреннего обеспечения соответствия требованиям антимонопольного законодательства приказом Комитета от 16.12.2020</w:t>
      </w:r>
      <w:proofErr w:type="gramEnd"/>
      <w:r w:rsidRPr="00FC54A0">
        <w:rPr>
          <w:rFonts w:ascii="Times New Roman" w:hAnsi="Times New Roman" w:cs="Times New Roman"/>
          <w:sz w:val="28"/>
          <w:szCs w:val="28"/>
        </w:rPr>
        <w:t xml:space="preserve"> № 84.</w:t>
      </w:r>
      <w:r w:rsidR="00C6545A" w:rsidRPr="00C6545A">
        <w:rPr>
          <w:sz w:val="28"/>
          <w:szCs w:val="28"/>
        </w:rPr>
        <w:t xml:space="preserve"> </w:t>
      </w:r>
    </w:p>
    <w:p w:rsidR="00E8530E" w:rsidRDefault="00C6545A" w:rsidP="00E8530E">
      <w:pPr>
        <w:spacing w:after="0" w:line="228" w:lineRule="auto"/>
        <w:ind w:left="-284" w:right="50"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6545A">
        <w:rPr>
          <w:rFonts w:ascii="Times New Roman" w:hAnsi="Times New Roman" w:cs="Times New Roman"/>
          <w:sz w:val="28"/>
          <w:szCs w:val="28"/>
        </w:rPr>
        <w:t xml:space="preserve"> 2022 году в </w:t>
      </w:r>
      <w:r>
        <w:rPr>
          <w:rFonts w:ascii="Times New Roman" w:hAnsi="Times New Roman" w:cs="Times New Roman"/>
          <w:sz w:val="28"/>
          <w:szCs w:val="28"/>
        </w:rPr>
        <w:t xml:space="preserve">комитете </w:t>
      </w:r>
      <w:r w:rsidR="003332C0">
        <w:rPr>
          <w:rFonts w:ascii="Times New Roman" w:hAnsi="Times New Roman" w:cs="Times New Roman"/>
          <w:sz w:val="28"/>
          <w:szCs w:val="28"/>
        </w:rPr>
        <w:t xml:space="preserve"> продолжила</w:t>
      </w:r>
      <w:r w:rsidRPr="00C6545A">
        <w:rPr>
          <w:rFonts w:ascii="Times New Roman" w:hAnsi="Times New Roman" w:cs="Times New Roman"/>
          <w:sz w:val="28"/>
          <w:szCs w:val="28"/>
        </w:rPr>
        <w:t xml:space="preserve"> функционировать система внутреннего обеспечения соответствия требованиям антимонопольного законодательства (</w:t>
      </w:r>
      <w:proofErr w:type="gramStart"/>
      <w:r w:rsidRPr="00C6545A"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 w:rsidRPr="00C654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545A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C6545A">
        <w:rPr>
          <w:rFonts w:ascii="Times New Roman" w:hAnsi="Times New Roman" w:cs="Times New Roman"/>
          <w:sz w:val="28"/>
          <w:szCs w:val="28"/>
        </w:rPr>
        <w:t>), направленная на выявление и предупреждение нарушений требований антимонопольного з</w:t>
      </w:r>
      <w:r>
        <w:rPr>
          <w:rFonts w:ascii="Times New Roman" w:hAnsi="Times New Roman" w:cs="Times New Roman"/>
          <w:sz w:val="28"/>
          <w:szCs w:val="28"/>
        </w:rPr>
        <w:t>аконодательства в деятельности комитета.</w:t>
      </w:r>
      <w:r w:rsidR="00E8530E" w:rsidRPr="00E8530E">
        <w:rPr>
          <w:sz w:val="28"/>
          <w:szCs w:val="28"/>
        </w:rPr>
        <w:t xml:space="preserve"> </w:t>
      </w:r>
    </w:p>
    <w:p w:rsidR="009C06F4" w:rsidRDefault="00E8530E" w:rsidP="00E8530E">
      <w:pPr>
        <w:spacing w:after="0" w:line="228" w:lineRule="auto"/>
        <w:ind w:left="-284" w:right="5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30E">
        <w:rPr>
          <w:rFonts w:ascii="Times New Roman" w:hAnsi="Times New Roman" w:cs="Times New Roman"/>
          <w:sz w:val="28"/>
          <w:szCs w:val="28"/>
        </w:rPr>
        <w:t xml:space="preserve">Оценка эффективности организации функционирования антимонопольного </w:t>
      </w:r>
      <w:proofErr w:type="spellStart"/>
      <w:r w:rsidRPr="00E8530E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E8530E">
        <w:rPr>
          <w:rFonts w:ascii="Times New Roman" w:hAnsi="Times New Roman" w:cs="Times New Roman"/>
          <w:sz w:val="28"/>
          <w:szCs w:val="28"/>
        </w:rPr>
        <w:t xml:space="preserve"> осуществляется рабочей группой по </w:t>
      </w:r>
      <w:proofErr w:type="gramStart"/>
      <w:r w:rsidRPr="00E8530E">
        <w:rPr>
          <w:rFonts w:ascii="Times New Roman" w:hAnsi="Times New Roman" w:cs="Times New Roman"/>
          <w:sz w:val="28"/>
          <w:szCs w:val="28"/>
        </w:rPr>
        <w:t>антимонопольному</w:t>
      </w:r>
      <w:proofErr w:type="gramEnd"/>
      <w:r w:rsidRPr="00E853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530E">
        <w:rPr>
          <w:rFonts w:ascii="Times New Roman" w:hAnsi="Times New Roman" w:cs="Times New Roman"/>
          <w:sz w:val="28"/>
          <w:szCs w:val="28"/>
        </w:rPr>
        <w:t>комплаенсу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C06F4" w:rsidRPr="00FC54A0" w:rsidRDefault="00E8530E" w:rsidP="00EF6B65">
      <w:pPr>
        <w:spacing w:after="0" w:line="240" w:lineRule="auto"/>
        <w:ind w:left="-284" w:right="5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2022 года в</w:t>
      </w:r>
      <w:r w:rsidR="009C06F4" w:rsidRPr="00FC54A0">
        <w:rPr>
          <w:rFonts w:ascii="Times New Roman" w:hAnsi="Times New Roman" w:cs="Times New Roman"/>
          <w:sz w:val="28"/>
          <w:szCs w:val="28"/>
        </w:rPr>
        <w:t xml:space="preserve"> целях выявления рисков нарушения антимонопольного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в деятельности комитета проводились</w:t>
      </w:r>
      <w:r w:rsidR="009C06F4" w:rsidRPr="00FC54A0">
        <w:rPr>
          <w:rFonts w:ascii="Times New Roman" w:hAnsi="Times New Roman" w:cs="Times New Roman"/>
          <w:sz w:val="28"/>
          <w:szCs w:val="28"/>
        </w:rPr>
        <w:t xml:space="preserve"> следующие мероприятия:</w:t>
      </w:r>
    </w:p>
    <w:p w:rsidR="009C06F4" w:rsidRPr="00FC54A0" w:rsidRDefault="009C06F4" w:rsidP="00E8530E">
      <w:pPr>
        <w:spacing w:after="0"/>
        <w:ind w:left="-284" w:right="5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54A0">
        <w:rPr>
          <w:rFonts w:ascii="Times New Roman" w:hAnsi="Times New Roman" w:cs="Times New Roman"/>
          <w:sz w:val="28"/>
          <w:szCs w:val="28"/>
        </w:rPr>
        <w:t>а) анализ выявленных нарушений антимонопольного законодательства в деятельности комитета за предыдущие года (наличие предостережений, предупреждений, штрафов, жалоб, возбужденных дел);</w:t>
      </w:r>
      <w:proofErr w:type="gramEnd"/>
    </w:p>
    <w:p w:rsidR="009C06F4" w:rsidRPr="00FC54A0" w:rsidRDefault="009C06F4" w:rsidP="00E8530E">
      <w:pPr>
        <w:spacing w:after="0"/>
        <w:ind w:left="-284" w:right="5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4A0">
        <w:rPr>
          <w:rFonts w:ascii="Times New Roman" w:hAnsi="Times New Roman" w:cs="Times New Roman"/>
          <w:sz w:val="28"/>
          <w:szCs w:val="28"/>
        </w:rPr>
        <w:t>б) анализ нормативных правовых актов;</w:t>
      </w:r>
    </w:p>
    <w:p w:rsidR="009C06F4" w:rsidRPr="00FC54A0" w:rsidRDefault="009C06F4" w:rsidP="00E8530E">
      <w:pPr>
        <w:spacing w:after="0"/>
        <w:ind w:left="-284" w:right="5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4A0">
        <w:rPr>
          <w:rFonts w:ascii="Times New Roman" w:hAnsi="Times New Roman" w:cs="Times New Roman"/>
          <w:sz w:val="28"/>
          <w:szCs w:val="28"/>
        </w:rPr>
        <w:t>в) анализ проектов нормативных правовых актов Комитета, а также проектов нормативных правовых актов Администрации Великого Новгорода, разработчиками которых является Комитет, реализация которых связана с соблюдением требований антимонопольного законодательства (далее проекты нормативных правовых актов);</w:t>
      </w:r>
    </w:p>
    <w:p w:rsidR="009C06F4" w:rsidRPr="00FC54A0" w:rsidRDefault="009C06F4" w:rsidP="00E8530E">
      <w:pPr>
        <w:spacing w:after="0"/>
        <w:ind w:left="-284" w:right="5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4A0">
        <w:rPr>
          <w:rFonts w:ascii="Times New Roman" w:hAnsi="Times New Roman" w:cs="Times New Roman"/>
          <w:sz w:val="28"/>
          <w:szCs w:val="28"/>
        </w:rPr>
        <w:t>г) мониторинг и анализ практики применения Комитетом антимонопольного законодательства;</w:t>
      </w:r>
    </w:p>
    <w:p w:rsidR="009C06F4" w:rsidRPr="00FC54A0" w:rsidRDefault="009C06F4" w:rsidP="00FC54A0">
      <w:pPr>
        <w:spacing w:after="0"/>
        <w:ind w:left="-284" w:right="14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FC54A0">
        <w:rPr>
          <w:rFonts w:ascii="Times New Roman" w:hAnsi="Times New Roman" w:cs="Times New Roman"/>
          <w:sz w:val="28"/>
          <w:szCs w:val="28"/>
        </w:rPr>
        <w:t>д) проведение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законодательства.</w:t>
      </w:r>
    </w:p>
    <w:p w:rsidR="009C06F4" w:rsidRPr="00FC54A0" w:rsidRDefault="009C06F4" w:rsidP="00FC54A0">
      <w:pPr>
        <w:pStyle w:val="Default"/>
        <w:ind w:left="-284" w:right="140" w:firstLine="710"/>
        <w:jc w:val="both"/>
        <w:rPr>
          <w:color w:val="auto"/>
          <w:sz w:val="28"/>
          <w:szCs w:val="28"/>
        </w:rPr>
      </w:pPr>
      <w:r w:rsidRPr="00FC54A0">
        <w:rPr>
          <w:color w:val="auto"/>
          <w:sz w:val="28"/>
          <w:szCs w:val="28"/>
        </w:rPr>
        <w:t xml:space="preserve">По итогам проведенного анализа нормативных правовых актов комитета сделан вывод об их соответствии антимонопольному законодательству, о нецелесообразности внесения изменений в действующие нормативные правовые акты. </w:t>
      </w:r>
    </w:p>
    <w:p w:rsidR="00A738F9" w:rsidRPr="00FC54A0" w:rsidRDefault="00A738F9" w:rsidP="00A738F9">
      <w:pPr>
        <w:spacing w:after="0" w:line="240" w:lineRule="auto"/>
        <w:ind w:left="-284" w:right="5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4A0">
        <w:rPr>
          <w:rFonts w:ascii="Times New Roman" w:hAnsi="Times New Roman" w:cs="Times New Roman"/>
          <w:sz w:val="28"/>
          <w:szCs w:val="28"/>
        </w:rPr>
        <w:lastRenderedPageBreak/>
        <w:t>В структурных подразделениях Комитета в период 2022 года организована и проведена работа по осуществлению сбора сведений о наличии нарушений антимонопольного законодательства, составлению перечня нарушений антимонопольного законодательства.</w:t>
      </w:r>
    </w:p>
    <w:p w:rsidR="009C06F4" w:rsidRPr="00FC54A0" w:rsidRDefault="009C06F4" w:rsidP="00A738F9">
      <w:pPr>
        <w:pStyle w:val="Default"/>
        <w:ind w:left="-284" w:right="140" w:firstLine="710"/>
        <w:jc w:val="both"/>
        <w:rPr>
          <w:color w:val="auto"/>
          <w:sz w:val="28"/>
          <w:szCs w:val="28"/>
        </w:rPr>
      </w:pPr>
      <w:r w:rsidRPr="00FC54A0">
        <w:rPr>
          <w:color w:val="auto"/>
          <w:sz w:val="28"/>
          <w:szCs w:val="28"/>
        </w:rPr>
        <w:t xml:space="preserve">По результатам мониторинга и анализа практики применения антимонопольными органами антимонопольного законодательства, нарушений в деятельности комитета не выявлено. </w:t>
      </w:r>
    </w:p>
    <w:p w:rsidR="00654477" w:rsidRDefault="009C06F4" w:rsidP="00FC54A0">
      <w:pPr>
        <w:pStyle w:val="Default"/>
        <w:ind w:left="-284" w:right="140" w:firstLine="710"/>
        <w:jc w:val="both"/>
        <w:rPr>
          <w:color w:val="auto"/>
          <w:sz w:val="28"/>
          <w:szCs w:val="28"/>
        </w:rPr>
      </w:pPr>
      <w:proofErr w:type="gramStart"/>
      <w:r w:rsidRPr="00FC54A0">
        <w:rPr>
          <w:color w:val="auto"/>
          <w:sz w:val="28"/>
          <w:szCs w:val="28"/>
        </w:rPr>
        <w:t>В отношении соблюдения комитетом антимонопольного законодательства в сфере закупок товаров, работ, услуг сделан вывод, что на  11 контрактов (конкурсных документаций), заключенных в 2022 году путем совершения конкурентных процедур и у единственных поставщиков (с учетом заключенных в соответствии с п. 4 ч.1 статьи 93 Федерального закона №44-ФЗ о контрактной системе), предписания от УФАС по Новгородской области отсутствует, из чего следует</w:t>
      </w:r>
      <w:proofErr w:type="gramEnd"/>
      <w:r w:rsidRPr="00FC54A0">
        <w:rPr>
          <w:color w:val="auto"/>
          <w:sz w:val="28"/>
          <w:szCs w:val="28"/>
        </w:rPr>
        <w:t xml:space="preserve"> что уровень рисков НИЗКИЙ – «Отрицательное влияние на отношение институтов гражданского общества к деятельности исполнительного органа государственной власти по развитию конкуренции, вероятность выдачи предупреждения, возбуждения дела о нарушении антимонопольного законодательства, наложения штрафа отсутствует». </w:t>
      </w:r>
    </w:p>
    <w:p w:rsidR="009C06F4" w:rsidRPr="00FC54A0" w:rsidRDefault="00654477" w:rsidP="00FC54A0">
      <w:pPr>
        <w:pStyle w:val="Default"/>
        <w:ind w:left="-284" w:right="140" w:firstLine="71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деятельности комитета не выявлены риски нарушения антимонопольного </w:t>
      </w:r>
      <w:r w:rsidR="009C06F4" w:rsidRPr="00FC54A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законодательства, в </w:t>
      </w:r>
      <w:proofErr w:type="gramStart"/>
      <w:r>
        <w:rPr>
          <w:color w:val="auto"/>
          <w:sz w:val="28"/>
          <w:szCs w:val="28"/>
        </w:rPr>
        <w:t>связи</w:t>
      </w:r>
      <w:proofErr w:type="gramEnd"/>
      <w:r>
        <w:rPr>
          <w:color w:val="auto"/>
          <w:sz w:val="28"/>
          <w:szCs w:val="28"/>
        </w:rPr>
        <w:t xml:space="preserve"> с чем отсутствует необходимость их классификации и разработки дополнительных  мероприятий, направленных на их предупреждение (снижение).</w:t>
      </w:r>
    </w:p>
    <w:p w:rsidR="009C06F4" w:rsidRPr="00FC54A0" w:rsidRDefault="00654477" w:rsidP="00AD7D58">
      <w:pPr>
        <w:spacing w:after="0" w:line="240" w:lineRule="auto"/>
        <w:ind w:left="-284" w:right="14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изложенного в представленном докладе, меры, принимаемые  комитетом по минимизации и устранению рисков  нарушения антимонопольного законодательства, эффективны  и рекомендованы к применению в будущем. </w:t>
      </w:r>
      <w:r w:rsidR="009C06F4" w:rsidRPr="00FC54A0">
        <w:rPr>
          <w:rFonts w:ascii="Times New Roman" w:hAnsi="Times New Roman" w:cs="Times New Roman"/>
          <w:sz w:val="28"/>
          <w:szCs w:val="28"/>
        </w:rPr>
        <w:t xml:space="preserve">Работа по обеспечению эффективного функционирования антимонопольного </w:t>
      </w:r>
      <w:proofErr w:type="spellStart"/>
      <w:r w:rsidR="009C06F4" w:rsidRPr="00FC54A0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="009C06F4" w:rsidRPr="00FC54A0">
        <w:rPr>
          <w:rFonts w:ascii="Times New Roman" w:hAnsi="Times New Roman" w:cs="Times New Roman"/>
          <w:sz w:val="28"/>
          <w:szCs w:val="28"/>
        </w:rPr>
        <w:t xml:space="preserve"> продолжится в</w:t>
      </w:r>
      <w:bookmarkStart w:id="0" w:name="_GoBack"/>
      <w:bookmarkEnd w:id="0"/>
      <w:r w:rsidR="009C06F4" w:rsidRPr="00FC54A0">
        <w:rPr>
          <w:rFonts w:ascii="Times New Roman" w:hAnsi="Times New Roman" w:cs="Times New Roman"/>
          <w:sz w:val="28"/>
          <w:szCs w:val="28"/>
        </w:rPr>
        <w:t xml:space="preserve"> комитете.</w:t>
      </w:r>
    </w:p>
    <w:p w:rsidR="009C06F4" w:rsidRPr="00FC54A0" w:rsidRDefault="009C06F4" w:rsidP="00FC54A0">
      <w:pPr>
        <w:spacing w:after="0"/>
        <w:ind w:left="-284" w:right="140" w:firstLine="710"/>
        <w:jc w:val="both"/>
        <w:rPr>
          <w:rFonts w:ascii="Times New Roman" w:eastAsia="Calibri" w:hAnsi="Times New Roman" w:cs="Times New Roman"/>
          <w:szCs w:val="24"/>
        </w:rPr>
      </w:pPr>
    </w:p>
    <w:p w:rsidR="00D86EBD" w:rsidRDefault="00D86EBD" w:rsidP="00D86E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86EBD" w:rsidRDefault="00D86EBD" w:rsidP="00D86EBD">
      <w:pPr>
        <w:tabs>
          <w:tab w:val="left" w:pos="540"/>
          <w:tab w:val="left" w:pos="1350"/>
          <w:tab w:val="left" w:pos="2138"/>
          <w:tab w:val="left" w:pos="2858"/>
          <w:tab w:val="left" w:pos="3578"/>
          <w:tab w:val="left" w:pos="4298"/>
          <w:tab w:val="left" w:pos="5018"/>
          <w:tab w:val="left" w:pos="5738"/>
          <w:tab w:val="left" w:pos="6458"/>
          <w:tab w:val="left" w:pos="7178"/>
          <w:tab w:val="left" w:pos="7898"/>
          <w:tab w:val="left" w:pos="8618"/>
          <w:tab w:val="left" w:pos="9338"/>
          <w:tab w:val="left" w:pos="10058"/>
          <w:tab w:val="left" w:pos="10778"/>
        </w:tabs>
        <w:autoSpaceDE w:val="0"/>
        <w:autoSpaceDN w:val="0"/>
        <w:adjustRightInd w:val="0"/>
        <w:spacing w:after="0" w:line="240" w:lineRule="auto"/>
        <w:ind w:left="26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86"/>
        <w:gridCol w:w="2268"/>
        <w:gridCol w:w="2809"/>
      </w:tblGrid>
      <w:tr w:rsidR="00D86EBD" w:rsidTr="006F528E">
        <w:tc>
          <w:tcPr>
            <w:tcW w:w="3686" w:type="dxa"/>
          </w:tcPr>
          <w:p w:rsidR="00D86EBD" w:rsidRDefault="00D86EBD" w:rsidP="006F528E">
            <w:pPr>
              <w:keepNext/>
              <w:keepLines/>
              <w:autoSpaceDE w:val="0"/>
              <w:autoSpaceDN w:val="0"/>
              <w:adjustRightInd w:val="0"/>
              <w:spacing w:before="120" w:after="0" w:line="240" w:lineRule="auto"/>
              <w:ind w:left="-403" w:firstLine="403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Председатель комитета</w:t>
            </w:r>
          </w:p>
        </w:tc>
        <w:tc>
          <w:tcPr>
            <w:tcW w:w="2268" w:type="dxa"/>
          </w:tcPr>
          <w:p w:rsidR="00D86EBD" w:rsidRDefault="00D86EBD" w:rsidP="006F528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-403" w:firstLine="403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2EAB7DF4" wp14:editId="040BD821">
                  <wp:extent cx="1123950" cy="7810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09" w:type="dxa"/>
          </w:tcPr>
          <w:p w:rsidR="00D86EBD" w:rsidRDefault="006F528E" w:rsidP="006F528E">
            <w:pPr>
              <w:keepNext/>
              <w:keepLines/>
              <w:autoSpaceDE w:val="0"/>
              <w:autoSpaceDN w:val="0"/>
              <w:adjustRightInd w:val="0"/>
              <w:spacing w:before="120" w:after="0" w:line="240" w:lineRule="auto"/>
              <w:ind w:left="-403" w:right="52" w:firstLine="403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="00D86EB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С.Н. Смирнова</w:t>
            </w:r>
          </w:p>
        </w:tc>
      </w:tr>
    </w:tbl>
    <w:p w:rsidR="00D86EBD" w:rsidRDefault="00D86EBD" w:rsidP="00D86EBD">
      <w:pPr>
        <w:autoSpaceDE w:val="0"/>
        <w:autoSpaceDN w:val="0"/>
        <w:adjustRightInd w:val="0"/>
        <w:spacing w:after="0" w:line="240" w:lineRule="auto"/>
        <w:ind w:left="26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9A4708" w:rsidRDefault="009A4708"/>
    <w:sectPr w:rsidR="009A4708" w:rsidSect="001E451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EBD"/>
    <w:rsid w:val="00135D4A"/>
    <w:rsid w:val="001D263D"/>
    <w:rsid w:val="003332C0"/>
    <w:rsid w:val="0057753D"/>
    <w:rsid w:val="00654477"/>
    <w:rsid w:val="006F528E"/>
    <w:rsid w:val="007D675D"/>
    <w:rsid w:val="008C53BA"/>
    <w:rsid w:val="009A4708"/>
    <w:rsid w:val="009C06F4"/>
    <w:rsid w:val="00A6766E"/>
    <w:rsid w:val="00A676CF"/>
    <w:rsid w:val="00A7207B"/>
    <w:rsid w:val="00A738F9"/>
    <w:rsid w:val="00AD7D58"/>
    <w:rsid w:val="00BE40B4"/>
    <w:rsid w:val="00C601F5"/>
    <w:rsid w:val="00C6545A"/>
    <w:rsid w:val="00D86EBD"/>
    <w:rsid w:val="00E8530E"/>
    <w:rsid w:val="00EF6B65"/>
    <w:rsid w:val="00F31D76"/>
    <w:rsid w:val="00F63939"/>
    <w:rsid w:val="00FC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6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E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C06F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BE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6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E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C06F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BE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8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F0CDD-69B6-41D2-9278-EA4F3BBEE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Светлана Николаевна</dc:creator>
  <cp:lastModifiedBy>Дроздова Елена Гурьевна</cp:lastModifiedBy>
  <cp:revision>19</cp:revision>
  <dcterms:created xsi:type="dcterms:W3CDTF">2023-03-17T08:16:00Z</dcterms:created>
  <dcterms:modified xsi:type="dcterms:W3CDTF">2023-03-17T11:45:00Z</dcterms:modified>
</cp:coreProperties>
</file>