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08"/>
        <w:contextualSpacing/>
        <w:jc w:val="both"/>
        <w:rPr>
          <w:color w:val="000000" w:themeColor="text1"/>
          <w:sz w:val="28"/>
          <w:szCs w:val="28"/>
        </w:rPr>
      </w:pPr>
      <w:r>
        <w:rPr>
          <w:b/>
          <w:color w:val="000000" w:themeColor="text1"/>
          <w:sz w:val="28"/>
          <w:szCs w:val="28"/>
        </w:rPr>
        <w:t>Мероприятие:</w:t>
      </w:r>
      <w:r>
        <w:rPr>
          <w:color w:val="000000" w:themeColor="text1"/>
          <w:sz w:val="28"/>
          <w:szCs w:val="28"/>
        </w:rPr>
        <w:t xml:space="preserve"> заседание Думы Великого Новгорода</w:t>
      </w:r>
    </w:p>
    <w:p>
      <w:pPr>
        <w:pStyle w:val="NormalWeb"/>
        <w:spacing w:before="280" w:after="280"/>
        <w:ind w:firstLine="708"/>
        <w:contextualSpacing/>
        <w:jc w:val="both"/>
        <w:rPr>
          <w:color w:val="000000" w:themeColor="text1"/>
          <w:sz w:val="28"/>
          <w:szCs w:val="28"/>
        </w:rPr>
      </w:pPr>
      <w:r>
        <w:rPr>
          <w:b/>
          <w:color w:val="000000" w:themeColor="text1"/>
          <w:sz w:val="28"/>
          <w:szCs w:val="28"/>
        </w:rPr>
        <w:t>Вопрос повестки:</w:t>
      </w:r>
      <w:r>
        <w:rPr>
          <w:color w:val="000000" w:themeColor="text1"/>
          <w:sz w:val="28"/>
          <w:szCs w:val="28"/>
        </w:rPr>
        <w:t xml:space="preserve"> отчет о реализации национальных проектов на территории городского округа Великий Новгород в 2020 году</w:t>
      </w:r>
    </w:p>
    <w:p>
      <w:pPr>
        <w:pStyle w:val="NormalWeb"/>
        <w:spacing w:before="280" w:after="280"/>
        <w:ind w:firstLine="708"/>
        <w:contextualSpacing/>
        <w:jc w:val="both"/>
        <w:rPr>
          <w:b/>
          <w:b/>
          <w:color w:val="000000" w:themeColor="text1"/>
          <w:sz w:val="28"/>
          <w:szCs w:val="28"/>
        </w:rPr>
      </w:pPr>
      <w:r>
        <w:rPr>
          <w:b/>
          <w:color w:val="000000" w:themeColor="text1"/>
          <w:sz w:val="28"/>
          <w:szCs w:val="28"/>
        </w:rPr>
        <w:t xml:space="preserve">Докладчик: </w:t>
      </w:r>
      <w:r>
        <w:rPr>
          <w:color w:val="000000" w:themeColor="text1"/>
          <w:sz w:val="28"/>
          <w:szCs w:val="28"/>
        </w:rPr>
        <w:t>З</w:t>
      </w:r>
      <w:r>
        <w:rPr>
          <w:color w:val="000000"/>
          <w:sz w:val="28"/>
          <w:szCs w:val="28"/>
        </w:rPr>
        <w:t>аместитель Главы администрации Великого Новгорода Павлова Ольга Сергеевна.</w:t>
      </w:r>
      <w:r>
        <w:rPr>
          <w:b/>
          <w:color w:val="000000" w:themeColor="text1"/>
          <w:sz w:val="28"/>
          <w:szCs w:val="28"/>
        </w:rPr>
        <w:t xml:space="preserve"> </w:t>
      </w:r>
    </w:p>
    <w:p>
      <w:pPr>
        <w:pStyle w:val="NormalWeb"/>
        <w:spacing w:before="280" w:after="280"/>
        <w:ind w:firstLine="708"/>
        <w:contextualSpacing/>
        <w:jc w:val="both"/>
        <w:rPr>
          <w:b/>
          <w:b/>
          <w:color w:val="000000" w:themeColor="text1"/>
          <w:sz w:val="28"/>
          <w:szCs w:val="28"/>
        </w:rPr>
      </w:pPr>
      <w:r>
        <w:rPr>
          <w:b/>
          <w:color w:val="000000" w:themeColor="text1"/>
          <w:sz w:val="28"/>
          <w:szCs w:val="28"/>
        </w:rPr>
      </w:r>
    </w:p>
    <w:p>
      <w:pPr>
        <w:pStyle w:val="NormalWeb"/>
        <w:spacing w:before="280" w:after="280"/>
        <w:ind w:firstLine="708"/>
        <w:contextualSpacing/>
        <w:jc w:val="both"/>
        <w:rPr>
          <w:b/>
          <w:b/>
          <w:color w:val="000000" w:themeColor="text1"/>
          <w:sz w:val="28"/>
          <w:szCs w:val="28"/>
        </w:rPr>
      </w:pPr>
      <w:r>
        <w:rPr>
          <w:b/>
          <w:color w:val="000000" w:themeColor="text1"/>
          <w:sz w:val="28"/>
          <w:szCs w:val="28"/>
        </w:rPr>
        <w:t>Слайд 1</w:t>
      </w:r>
    </w:p>
    <w:p>
      <w:pPr>
        <w:pStyle w:val="NormalWeb"/>
        <w:spacing w:before="280" w:after="280"/>
        <w:ind w:firstLine="708"/>
        <w:contextualSpacing/>
        <w:jc w:val="center"/>
        <w:rPr>
          <w:b/>
          <w:b/>
          <w:color w:val="000000" w:themeColor="text1"/>
          <w:sz w:val="28"/>
          <w:szCs w:val="28"/>
        </w:rPr>
      </w:pPr>
      <w:r>
        <w:rPr>
          <w:b/>
          <w:color w:val="000000" w:themeColor="text1"/>
          <w:sz w:val="28"/>
          <w:szCs w:val="28"/>
        </w:rPr>
        <w:t>Доклад</w:t>
      </w:r>
    </w:p>
    <w:p>
      <w:pPr>
        <w:pStyle w:val="NormalWeb"/>
        <w:spacing w:before="280" w:after="280"/>
        <w:ind w:firstLine="708"/>
        <w:contextualSpacing/>
        <w:jc w:val="both"/>
        <w:rPr>
          <w:b/>
          <w:b/>
          <w:color w:val="000000" w:themeColor="text1"/>
          <w:sz w:val="28"/>
          <w:szCs w:val="28"/>
        </w:rPr>
      </w:pPr>
      <w:r>
        <w:rPr>
          <w:b/>
          <w:color w:val="000000" w:themeColor="text1"/>
          <w:sz w:val="28"/>
          <w:szCs w:val="28"/>
        </w:rPr>
        <w:t>Слайд 2</w:t>
      </w:r>
    </w:p>
    <w:p>
      <w:pPr>
        <w:pStyle w:val="NormalWeb"/>
        <w:spacing w:before="280" w:after="280"/>
        <w:ind w:firstLine="708"/>
        <w:contextualSpacing/>
        <w:jc w:val="both"/>
        <w:rPr/>
      </w:pPr>
      <w:r>
        <w:rPr>
          <w:color w:val="000000" w:themeColor="text1"/>
          <w:sz w:val="28"/>
          <w:szCs w:val="28"/>
        </w:rPr>
        <w:t>7 мая 2018 года президент России Владимир Путин подписал устанавливающий и утверждающий национальные проекты России Указ "</w:t>
      </w:r>
      <w:hyperlink r:id="rId2" w:tgtFrame="_blank">
        <w:r>
          <w:rPr>
            <w:rStyle w:val="Style14"/>
            <w:color w:val="000000" w:themeColor="text1"/>
            <w:sz w:val="28"/>
            <w:szCs w:val="28"/>
            <w:u w:val="none"/>
          </w:rPr>
          <w:t>О национальных целях и стратегических задачах развития Российской Федерации на период до 2024 года</w:t>
        </w:r>
      </w:hyperlink>
      <w:r>
        <w:rPr>
          <w:color w:val="000000" w:themeColor="text1"/>
          <w:sz w:val="28"/>
          <w:szCs w:val="28"/>
        </w:rPr>
        <w:t xml:space="preserve">". </w:t>
      </w:r>
    </w:p>
    <w:p>
      <w:pPr>
        <w:pStyle w:val="NormalWeb"/>
        <w:spacing w:before="280" w:after="280"/>
        <w:ind w:firstLine="708"/>
        <w:contextualSpacing/>
        <w:jc w:val="both"/>
        <w:rPr>
          <w:b/>
          <w:b/>
          <w:color w:val="000000" w:themeColor="text1"/>
          <w:sz w:val="28"/>
          <w:szCs w:val="28"/>
        </w:rPr>
      </w:pPr>
      <w:r>
        <w:rPr>
          <w:b/>
          <w:color w:val="000000" w:themeColor="text1"/>
          <w:sz w:val="28"/>
          <w:szCs w:val="28"/>
        </w:rPr>
        <w:t>Слайд 3</w:t>
      </w:r>
    </w:p>
    <w:p>
      <w:pPr>
        <w:pStyle w:val="NormalWeb"/>
        <w:spacing w:before="280" w:after="280"/>
        <w:ind w:firstLine="708"/>
        <w:contextualSpacing/>
        <w:jc w:val="both"/>
        <w:rPr>
          <w:color w:val="000000" w:themeColor="text1"/>
          <w:sz w:val="28"/>
          <w:szCs w:val="28"/>
        </w:rPr>
      </w:pPr>
      <w:r>
        <w:rPr>
          <w:color w:val="000000" w:themeColor="text1"/>
          <w:sz w:val="28"/>
          <w:szCs w:val="28"/>
        </w:rPr>
        <w:t>На государственном уровне были разработаны и утверждены 12 национальных проектов по трем приоритетным направлениям:</w:t>
      </w:r>
    </w:p>
    <w:p>
      <w:pPr>
        <w:pStyle w:val="NormalWeb"/>
        <w:spacing w:before="280" w:after="280"/>
        <w:ind w:left="360" w:hanging="0"/>
        <w:contextualSpacing/>
        <w:jc w:val="both"/>
        <w:rPr>
          <w:color w:val="000000" w:themeColor="text1"/>
          <w:sz w:val="28"/>
          <w:szCs w:val="28"/>
        </w:rPr>
      </w:pPr>
      <w:r>
        <w:rPr>
          <w:color w:val="000000" w:themeColor="text1"/>
          <w:sz w:val="28"/>
          <w:szCs w:val="28"/>
        </w:rPr>
        <w:t>Человеческий капитал;</w:t>
      </w:r>
    </w:p>
    <w:p>
      <w:pPr>
        <w:pStyle w:val="NormalWeb"/>
        <w:spacing w:before="280" w:after="280"/>
        <w:ind w:left="360" w:hanging="0"/>
        <w:contextualSpacing/>
        <w:jc w:val="both"/>
        <w:rPr>
          <w:color w:val="000000" w:themeColor="text1"/>
          <w:sz w:val="28"/>
          <w:szCs w:val="28"/>
        </w:rPr>
      </w:pPr>
      <w:r>
        <w:rPr>
          <w:color w:val="000000" w:themeColor="text1"/>
          <w:sz w:val="28"/>
          <w:szCs w:val="28"/>
        </w:rPr>
        <w:t>Комфортная среда для жизни;</w:t>
      </w:r>
    </w:p>
    <w:p>
      <w:pPr>
        <w:pStyle w:val="NormalWeb"/>
        <w:spacing w:before="280" w:after="280"/>
        <w:ind w:left="360" w:hanging="0"/>
        <w:contextualSpacing/>
        <w:jc w:val="both"/>
        <w:rPr>
          <w:color w:val="000000" w:themeColor="text1"/>
          <w:sz w:val="28"/>
          <w:szCs w:val="28"/>
        </w:rPr>
      </w:pPr>
      <w:r>
        <w:rPr>
          <w:color w:val="000000" w:themeColor="text1"/>
          <w:sz w:val="28"/>
          <w:szCs w:val="28"/>
        </w:rPr>
        <w:t>Экономический рост.</w:t>
      </w:r>
    </w:p>
    <w:p>
      <w:pPr>
        <w:pStyle w:val="NormalWeb"/>
        <w:spacing w:before="280" w:after="280"/>
        <w:ind w:firstLine="708"/>
        <w:contextualSpacing/>
        <w:jc w:val="both"/>
        <w:rPr>
          <w:b/>
          <w:b/>
          <w:color w:val="000000" w:themeColor="text1"/>
          <w:sz w:val="28"/>
          <w:szCs w:val="28"/>
        </w:rPr>
      </w:pPr>
      <w:r>
        <w:rPr>
          <w:b/>
          <w:color w:val="000000" w:themeColor="text1"/>
          <w:sz w:val="28"/>
          <w:szCs w:val="28"/>
        </w:rPr>
        <w:t>Слайд 4</w:t>
      </w:r>
    </w:p>
    <w:p>
      <w:pPr>
        <w:pStyle w:val="NormalWeb"/>
        <w:spacing w:before="280" w:after="280"/>
        <w:ind w:firstLine="708"/>
        <w:contextualSpacing/>
        <w:jc w:val="both"/>
        <w:rPr>
          <w:color w:val="000000" w:themeColor="text1"/>
          <w:sz w:val="28"/>
          <w:szCs w:val="28"/>
        </w:rPr>
      </w:pPr>
      <w:r>
        <w:rPr>
          <w:color w:val="000000" w:themeColor="text1"/>
          <w:sz w:val="28"/>
          <w:szCs w:val="28"/>
        </w:rPr>
        <w:t xml:space="preserve">Великий Новгород активно включился в работу по реализации проектов. Общая сумма финансовых средств, направленных на реализацию проекта за 2 года существенна и составляет 2 071,6 млн. рублей с учетом средств из различных источников. В текущем году город на реализацию проектов получил 1095,9 млн. рублей, в том числе 980,7 млн. руб. - федеральные средства, 76,6 млн. руб.– областные, 38,6 млн. руб. – средства бюджета Великого Новгорода. </w:t>
      </w:r>
    </w:p>
    <w:p>
      <w:pPr>
        <w:pStyle w:val="NormalWeb"/>
        <w:spacing w:before="280" w:after="280"/>
        <w:ind w:firstLine="708"/>
        <w:contextualSpacing/>
        <w:jc w:val="both"/>
        <w:rPr>
          <w:color w:val="000000" w:themeColor="text1"/>
          <w:sz w:val="28"/>
          <w:szCs w:val="28"/>
        </w:rPr>
      </w:pPr>
      <w:r>
        <w:rPr>
          <w:color w:val="000000" w:themeColor="text1"/>
          <w:sz w:val="28"/>
          <w:szCs w:val="28"/>
        </w:rPr>
        <w:t>Расходы в разрезе национальных проектов представлены на слайде.</w:t>
      </w:r>
    </w:p>
    <w:p>
      <w:pPr>
        <w:pStyle w:val="NormalWeb"/>
        <w:spacing w:before="280" w:after="280"/>
        <w:ind w:firstLine="708"/>
        <w:contextualSpacing/>
        <w:jc w:val="both"/>
        <w:rPr>
          <w:color w:val="000000" w:themeColor="text1"/>
          <w:sz w:val="28"/>
          <w:szCs w:val="28"/>
        </w:rPr>
      </w:pPr>
      <w:r>
        <w:rPr>
          <w:color w:val="000000" w:themeColor="text1"/>
          <w:sz w:val="28"/>
          <w:szCs w:val="28"/>
        </w:rPr>
        <mc:AlternateContent>
          <mc:Choice Requires="wps">
            <w:drawing>
              <wp:anchor behindDoc="0" distT="0" distB="0" distL="0" distR="0" simplePos="0" locked="0" layoutInCell="1" allowOverlap="1" relativeHeight="2" wp14:anchorId="06589C00">
                <wp:simplePos x="0" y="0"/>
                <wp:positionH relativeFrom="column">
                  <wp:posOffset>-498475</wp:posOffset>
                </wp:positionH>
                <wp:positionV relativeFrom="paragraph">
                  <wp:posOffset>100330</wp:posOffset>
                </wp:positionV>
                <wp:extent cx="4744720" cy="1344930"/>
                <wp:effectExtent l="0" t="0" r="18415" b="27305"/>
                <wp:wrapNone/>
                <wp:docPr id="1" name="Скругленный прямоугольник 1"/>
                <a:graphic xmlns:a="http://schemas.openxmlformats.org/drawingml/2006/main">
                  <a:graphicData uri="http://schemas.microsoft.com/office/word/2010/wordprocessingShape">
                    <wps:wsp>
                      <wps:cNvSpPr/>
                      <wps:spPr>
                        <a:xfrm>
                          <a:off x="0" y="0"/>
                          <a:ext cx="4744080" cy="134424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 На слайде 4  на расходы по НП Демография выделено 179,9 млн. руб.</w:t>
                            </w:r>
                          </w:p>
                          <w:p>
                            <w:pPr>
                              <w:pStyle w:val="Style21"/>
                              <w:spacing w:lineRule="atLeast" w:line="160" w:before="280" w:after="0"/>
                              <w:contextualSpacing/>
                              <w:rPr>
                                <w:b/>
                                <w:b/>
                              </w:rPr>
                            </w:pPr>
                            <w:r>
                              <w:rPr>
                                <w:color w:val="000000"/>
                              </w:rPr>
                              <w:t xml:space="preserve">В т.ч. ФП Спорт-норма жизни    </w:t>
                            </w:r>
                            <w:r>
                              <w:rPr>
                                <w:b/>
                                <w:color w:val="000000"/>
                              </w:rPr>
                              <w:t>65532,4 тыс. руб</w:t>
                            </w:r>
                          </w:p>
                          <w:p>
                            <w:pPr>
                              <w:pStyle w:val="Style21"/>
                              <w:spacing w:lineRule="atLeast" w:line="160" w:before="280" w:after="0"/>
                              <w:contextualSpacing/>
                              <w:rPr>
                                <w:b/>
                                <w:b/>
                              </w:rPr>
                            </w:pPr>
                            <w:r>
                              <w:rPr>
                                <w:color w:val="000000"/>
                              </w:rPr>
                              <w:t xml:space="preserve">ФП "Содействие занятости женщин - создание условий дошкольного образования для детей в возрасте до трех лет". Строительство 3-х детских садов по 140 мест каждый </w:t>
                            </w:r>
                            <w:r>
                              <w:rPr>
                                <w:b/>
                                <w:color w:val="000000"/>
                              </w:rPr>
                              <w:t>114347,7 тыс.руб</w:t>
                            </w:r>
                          </w:p>
                          <w:p>
                            <w:pPr>
                              <w:pStyle w:val="Style21"/>
                              <w:spacing w:lineRule="atLeast" w:line="160" w:before="280" w:after="0"/>
                              <w:contextualSpacing/>
                              <w:rPr>
                                <w:color w:val="000000"/>
                              </w:rPr>
                            </w:pPr>
                            <w:r>
                              <w:rPr>
                                <w:color w:val="000000"/>
                              </w:rPr>
                              <w:t>Деньги выделенные на строительство детских садов вернули в область 03.12.2020</w:t>
                            </w:r>
                          </w:p>
                        </w:txbxContent>
                      </wps:txbx>
                      <wps:bodyPr anchor="ctr">
                        <a:prstTxWarp prst="textNoShape"/>
                        <a:noAutofit/>
                      </wps:bodyPr>
                    </wps:wsp>
                  </a:graphicData>
                </a:graphic>
              </wp:anchor>
            </w:drawing>
          </mc:Choice>
          <mc:Fallback>
            <w:pict/>
          </mc:Fallback>
        </mc:AlternateContent>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r>
    </w:p>
    <w:p>
      <w:pPr>
        <w:pStyle w:val="NormalWeb"/>
        <w:spacing w:before="280" w:after="280"/>
        <w:ind w:firstLine="708"/>
        <w:contextualSpacing/>
        <w:jc w:val="both"/>
        <w:rPr>
          <w:color w:val="000000" w:themeColor="text1"/>
          <w:sz w:val="28"/>
          <w:szCs w:val="28"/>
        </w:rPr>
      </w:pPr>
      <w:r>
        <w:rPr>
          <w:color w:val="000000" w:themeColor="text1"/>
          <w:sz w:val="28"/>
          <w:szCs w:val="28"/>
        </w:rPr>
        <w:t>Отдельно остановлюсь на каждом из них.</w:t>
      </w:r>
    </w:p>
    <w:p>
      <w:pPr>
        <w:pStyle w:val="NormalWeb"/>
        <w:spacing w:before="280" w:after="280"/>
        <w:ind w:firstLine="708"/>
        <w:contextualSpacing/>
        <w:jc w:val="both"/>
        <w:rPr>
          <w:b/>
          <w:b/>
          <w:color w:val="000000" w:themeColor="text1"/>
          <w:sz w:val="28"/>
          <w:szCs w:val="28"/>
        </w:rPr>
      </w:pPr>
      <w:r>
        <w:rPr>
          <w:b/>
          <w:color w:val="000000" w:themeColor="text1"/>
          <w:sz w:val="28"/>
          <w:szCs w:val="28"/>
        </w:rPr>
      </w:r>
    </w:p>
    <w:p>
      <w:pPr>
        <w:pStyle w:val="NormalWeb"/>
        <w:spacing w:before="280" w:after="280"/>
        <w:ind w:firstLine="708"/>
        <w:contextualSpacing/>
        <w:jc w:val="both"/>
        <w:rPr>
          <w:b/>
          <w:b/>
          <w:color w:val="000000" w:themeColor="text1"/>
          <w:sz w:val="28"/>
          <w:szCs w:val="28"/>
        </w:rPr>
      </w:pPr>
      <w:r>
        <w:rPr>
          <w:b/>
          <w:color w:val="000000" w:themeColor="text1"/>
          <w:sz w:val="28"/>
          <w:szCs w:val="28"/>
        </w:rPr>
        <w:t>Слайд 5</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2020 году участниками федерального проекта "Цифровая образовательная среда" национального проекта "Образование" стали 29 общеобразовательных учреждений Великого Новгорода. На внедрение целевой модели ЦОС в общеобразовательных организациях выделено 66 177,8 тыс. рублей.</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Закупку оборудования для всех учреждений осуществляла "Гимназия № 3", на которую были возложены полномочия на проведение единой централизованной закупки. </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По состоянию на 01.12.2020 в школы поставлено:</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58 интерактивных панелей, 29 МФУ, 870 ноутбуков для учеников, 58 ноутбуков для преподавателей. </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Завершение поставки компьютерной техники (174 ноутбука) ожидается до конца текущего года. </w:t>
      </w:r>
    </w:p>
    <w:p>
      <w:pPr>
        <w:pStyle w:val="Normal"/>
        <w:spacing w:lineRule="auto" w:line="240" w:before="0" w:after="0"/>
        <w:ind w:firstLine="72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рамках проекта также предусмотрены средства для получения сотрудниками и педагогами дополнительного профессионального образования по вопросам внедрения и функционирования ЦОС. Повышение квалификации прошли  3 педагогических работника от каждого образовательно учреждения.</w:t>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Слайд 6</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По состоянию на 01.12.2020 освоение средств по реализации данного проекта с учетом полученной экономии по результатам аукционов составило в общей сумме 43 736,2 тыс. рублей. Отдельно по направлениям использование ресурсов представлено на слайде.</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mc:AlternateContent>
          <mc:Choice Requires="wps">
            <w:drawing>
              <wp:anchor behindDoc="0" distT="0" distB="0" distL="0" distR="0" simplePos="0" locked="0" layoutInCell="1" allowOverlap="1" relativeHeight="3" wp14:anchorId="750155EB">
                <wp:simplePos x="0" y="0"/>
                <wp:positionH relativeFrom="column">
                  <wp:posOffset>-466725</wp:posOffset>
                </wp:positionH>
                <wp:positionV relativeFrom="paragraph">
                  <wp:posOffset>106680</wp:posOffset>
                </wp:positionV>
                <wp:extent cx="4712335" cy="1344930"/>
                <wp:effectExtent l="0" t="0" r="12700" b="27305"/>
                <wp:wrapNone/>
                <wp:docPr id="3" name="Скругленный прямоугольник 3"/>
                <a:graphic xmlns:a="http://schemas.openxmlformats.org/drawingml/2006/main">
                  <a:graphicData uri="http://schemas.microsoft.com/office/word/2010/wordprocessingShape">
                    <wps:wsp>
                      <wps:cNvSpPr/>
                      <wps:spPr>
                        <a:xfrm>
                          <a:off x="0" y="0"/>
                          <a:ext cx="4711680" cy="134424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На закупку оборудования по ФП ЦОС на 2021 год было запланировано 66177,8 тыс. руб. По результатам конкура  заключено два контракта на общую сумму 48692,61тыс.руб. Таким образом экономия по  результатам закупки 16823,6 тыс. руб</w:t>
                            </w:r>
                          </w:p>
                          <w:p>
                            <w:pPr>
                              <w:pStyle w:val="Style21"/>
                              <w:spacing w:lineRule="atLeast" w:line="160" w:before="0" w:after="0"/>
                              <w:contextualSpacing/>
                              <w:rPr>
                                <w:color w:val="000000"/>
                              </w:rPr>
                            </w:pPr>
                            <w:r>
                              <w:rPr>
                                <w:color w:val="000000"/>
                              </w:rPr>
                              <w:t>Освоено на 15.12.2020  44851,7 тыс. руб процент освоения 67,8 %</w:t>
                            </w:r>
                          </w:p>
                          <w:p>
                            <w:pPr>
                              <w:pStyle w:val="Style21"/>
                              <w:spacing w:lineRule="atLeast" w:line="160" w:before="0" w:after="0"/>
                              <w:contextualSpacing/>
                              <w:rPr>
                                <w:color w:val="000000"/>
                              </w:rPr>
                            </w:pPr>
                            <w:r>
                              <w:rPr>
                                <w:color w:val="000000"/>
                              </w:rPr>
                              <w:t>Причина  низкого процента  освоения средств, при том, что планы  по обеспечению ОУ оборудованием выполнены.</w:t>
                            </w:r>
                          </w:p>
                          <w:p>
                            <w:pPr>
                              <w:pStyle w:val="Style21"/>
                              <w:spacing w:lineRule="atLeast" w:line="160" w:before="0" w:after="0"/>
                              <w:contextualSpacing/>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Слайд 7</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рамках реализации федерального проекта «Содействие занятости женщин - создание условий дошкольного образования для детей в возрасте до трех лет» осуществляется строительство трех детских садов по 190 мест каждый (ул. Я. Павлова, ул. Вересова, ул. Речная).</w:t>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Слайд 8 </w:t>
      </w:r>
    </w:p>
    <w:p>
      <w:pPr>
        <w:pStyle w:val="Normal"/>
        <w:spacing w:lineRule="auto" w:line="240" w:before="0" w:after="200"/>
        <w:ind w:firstLine="709"/>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u w:val="single"/>
        </w:rPr>
        <w:t>Строительство объекта по ул. Речная</w:t>
      </w:r>
      <w:r>
        <w:rPr>
          <w:rFonts w:eastAsia="Times New Roman" w:cs="Times New Roman" w:ascii="Times New Roman" w:hAnsi="Times New Roman"/>
          <w:bCs/>
          <w:sz w:val="28"/>
          <w:szCs w:val="28"/>
        </w:rPr>
        <w:t>,</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color w:val="000000"/>
          <w:spacing w:val="2"/>
          <w:sz w:val="28"/>
          <w:szCs w:val="28"/>
        </w:rPr>
        <w:t>По результатам закупки у единственного поставщика ООО «СБ»</w:t>
      </w:r>
      <w:r>
        <w:rPr>
          <w:rFonts w:cs="Times New Roman" w:ascii="Times New Roman" w:hAnsi="Times New Roman"/>
          <w:color w:val="000000"/>
          <w:sz w:val="28"/>
          <w:szCs w:val="28"/>
        </w:rPr>
        <w:t xml:space="preserve"> (г. Великий Новгород)</w:t>
      </w:r>
      <w:r>
        <w:rPr>
          <w:rFonts w:cs="Times New Roman" w:ascii="Times New Roman" w:hAnsi="Times New Roman"/>
          <w:color w:val="000000"/>
          <w:spacing w:val="2"/>
          <w:sz w:val="28"/>
          <w:szCs w:val="28"/>
        </w:rPr>
        <w:t xml:space="preserve"> 01.06.2020 был заключен муниципальный контракт на строительство объекта со сроком завершения работ 31.12.2020. Цена контракта составляет 141,18 млн. рублей, в том числе средства федерального бюджета - 39,03 млн. руб.; средства областного бюджета - 5,65 млн. руб., бюджета Великого Новгорода - 96,5 млн. руб.).</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Заказчиком по объекту выступает «Детский сад № 81 «Солнышко».</w:t>
      </w:r>
    </w:p>
    <w:p>
      <w:pPr>
        <w:pStyle w:val="11"/>
        <w:widowControl/>
        <w:spacing w:before="0" w:after="0"/>
        <w:ind w:firstLine="709"/>
        <w:contextualSpacing/>
        <w:jc w:val="both"/>
        <w:rPr>
          <w:sz w:val="28"/>
          <w:szCs w:val="28"/>
        </w:rPr>
      </w:pPr>
      <w:r>
        <w:rPr>
          <w:bCs/>
          <w:color w:val="000000"/>
          <w:sz w:val="28"/>
          <w:szCs w:val="28"/>
        </w:rPr>
        <w:t xml:space="preserve">Строительная готовность объекта по состоянию на 01.12.2020 составила 53,0% </w:t>
      </w:r>
    </w:p>
    <w:p>
      <w:pPr>
        <w:pStyle w:val="Normal"/>
        <w:spacing w:lineRule="auto" w:line="240" w:before="0" w:after="0"/>
        <w:ind w:firstLine="780"/>
        <w:contextualSpacing/>
        <w:jc w:val="both"/>
        <w:rPr>
          <w:rFonts w:ascii="Times New Roman" w:hAnsi="Times New Roman" w:eastAsia="Times New Roman" w:cs="Times New Roman"/>
          <w:bCs/>
          <w:color w:val="000000"/>
          <w:sz w:val="28"/>
          <w:szCs w:val="28"/>
          <w:lang w:eastAsia="zh-CN"/>
        </w:rPr>
      </w:pPr>
      <w:r>
        <w:rPr>
          <w:rFonts w:cs="Times New Roman" w:ascii="Times New Roman" w:hAnsi="Times New Roman"/>
          <w:sz w:val="28"/>
          <w:szCs w:val="28"/>
        </w:rPr>
        <w:t xml:space="preserve">На 01.12.2020 на строительстве было задействовано </w:t>
      </w:r>
      <w:r>
        <w:rPr>
          <w:rFonts w:eastAsia="Times New Roman" w:cs="Times New Roman" w:ascii="Times New Roman" w:hAnsi="Times New Roman"/>
          <w:bCs/>
          <w:color w:val="000000"/>
          <w:sz w:val="28"/>
          <w:szCs w:val="28"/>
          <w:lang w:eastAsia="zh-CN"/>
        </w:rPr>
        <w:t>9 единиц техники, 7 человек персонала ИТР и 45 человек рабочих.</w:t>
      </w:r>
    </w:p>
    <w:p>
      <w:pPr>
        <w:pStyle w:val="11"/>
        <w:widowControl/>
        <w:spacing w:before="0" w:after="0"/>
        <w:ind w:firstLine="709"/>
        <w:contextualSpacing/>
        <w:jc w:val="both"/>
        <w:rPr>
          <w:sz w:val="28"/>
          <w:szCs w:val="28"/>
        </w:rPr>
      </w:pPr>
      <w:r>
        <w:rPr>
          <w:bCs/>
          <w:color w:val="000000"/>
          <w:sz w:val="28"/>
          <w:szCs w:val="28"/>
        </w:rPr>
        <w:t>Объект обеспечен материалами (отставания от графика выполнения работ по причине отсутствия материалов не выявлены).</w:t>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bookmarkStart w:id="0" w:name="_GoBack2"/>
      <w:bookmarkEnd w:id="0"/>
      <w:r>
        <w:rPr>
          <w:rFonts w:eastAsia="Times New Roman" w:cs="Times New Roman" w:ascii="Times New Roman" w:hAnsi="Times New Roman"/>
          <w:color w:val="000000"/>
          <w:sz w:val="28"/>
          <w:szCs w:val="28"/>
        </w:rPr>
        <w:t>Завершено асфальтирование территории сада.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mc:AlternateContent>
          <mc:Choice Requires="wps">
            <w:drawing>
              <wp:anchor behindDoc="0" distT="0" distB="0" distL="0" distR="0" simplePos="0" locked="0" layoutInCell="1" allowOverlap="1" relativeHeight="9" wp14:anchorId="34A7C232">
                <wp:simplePos x="0" y="0"/>
                <wp:positionH relativeFrom="column">
                  <wp:posOffset>-476885</wp:posOffset>
                </wp:positionH>
                <wp:positionV relativeFrom="paragraph">
                  <wp:posOffset>79375</wp:posOffset>
                </wp:positionV>
                <wp:extent cx="4658360" cy="764540"/>
                <wp:effectExtent l="0" t="0" r="28575" b="17780"/>
                <wp:wrapNone/>
                <wp:docPr id="5" name="Скругленный прямоугольник 9"/>
                <a:graphic xmlns:a="http://schemas.openxmlformats.org/drawingml/2006/main">
                  <a:graphicData uri="http://schemas.microsoft.com/office/word/2010/wordprocessingShape">
                    <wps:wsp>
                      <wps:cNvSpPr/>
                      <wps:spPr>
                        <a:xfrm>
                          <a:off x="0" y="0"/>
                          <a:ext cx="4657680" cy="76392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 xml:space="preserve"> </w:t>
                            </w:r>
                            <w:r>
                              <w:rPr>
                                <w:color w:val="000000"/>
                              </w:rPr>
                              <w:t>По состоянию на 17.12.2020 строительная готовность объекта  составила 60 %</w:t>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Слайд 9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u w:val="single"/>
        </w:rPr>
        <w:t xml:space="preserve">Строительство объекта по ул. Вересова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color w:val="000000"/>
          <w:spacing w:val="2"/>
          <w:sz w:val="28"/>
          <w:szCs w:val="28"/>
        </w:rPr>
        <w:t xml:space="preserve">По результатам закупки между 29.05.2020 был заключен муниципальный контракт </w:t>
      </w:r>
      <w:r>
        <w:rPr>
          <w:rFonts w:cs="Times New Roman" w:ascii="Times New Roman" w:hAnsi="Times New Roman"/>
          <w:color w:val="000000"/>
          <w:sz w:val="28"/>
          <w:szCs w:val="28"/>
        </w:rPr>
        <w:t>с</w:t>
      </w:r>
      <w:r>
        <w:rPr>
          <w:rFonts w:cs="Times New Roman" w:ascii="Times New Roman" w:hAnsi="Times New Roman"/>
          <w:color w:val="000000"/>
          <w:spacing w:val="2"/>
          <w:sz w:val="28"/>
          <w:szCs w:val="28"/>
        </w:rPr>
        <w:t xml:space="preserve"> ООО «ФИН ПАНЕЛЬ»</w:t>
      </w:r>
      <w:r>
        <w:rPr>
          <w:rFonts w:cs="Times New Roman" w:ascii="Times New Roman" w:hAnsi="Times New Roman"/>
          <w:color w:val="000000"/>
          <w:sz w:val="28"/>
          <w:szCs w:val="28"/>
        </w:rPr>
        <w:t xml:space="preserve"> (г. Санкт-Петербург)</w:t>
      </w:r>
      <w:r>
        <w:rPr>
          <w:rFonts w:cs="Times New Roman" w:ascii="Times New Roman" w:hAnsi="Times New Roman"/>
          <w:color w:val="000000"/>
          <w:spacing w:val="2"/>
          <w:sz w:val="28"/>
          <w:szCs w:val="28"/>
        </w:rPr>
        <w:t xml:space="preserve"> со сроком завершения работ 31.12.2020. Цена контракта составляет 107,33 млн. рублей, в том числе из федерального бюджета 47,94 млн. руб., из областного бюджета - 8,75 млн. руб., из  городской бюджета - 50,64 млн. руб.</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Заказчик по объекту -  «</w:t>
      </w:r>
      <w:r>
        <w:rPr>
          <w:rFonts w:cs="Times New Roman" w:ascii="Times New Roman" w:hAnsi="Times New Roman"/>
          <w:sz w:val="28"/>
          <w:szCs w:val="28"/>
        </w:rPr>
        <w:t>Детский сад № 83».</w:t>
      </w:r>
    </w:p>
    <w:p>
      <w:pPr>
        <w:pStyle w:val="Normal"/>
        <w:spacing w:lineRule="auto" w:line="240" w:before="0" w:after="200"/>
        <w:ind w:firstLine="709"/>
        <w:contextualSpacing/>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 xml:space="preserve">Строительная готовность объекта по состоянию на 01.12.2020 составила 84,78 %. </w:t>
      </w:r>
    </w:p>
    <w:p>
      <w:pPr>
        <w:pStyle w:val="Normal"/>
        <w:spacing w:lineRule="auto" w:line="240" w:before="0" w:after="200"/>
        <w:ind w:firstLine="709"/>
        <w:contextualSpacing/>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 xml:space="preserve">На объекте задействовано 6 человек персонала ИТР, 45 человек рабочих. </w:t>
      </w:r>
    </w:p>
    <w:p>
      <w:pPr>
        <w:pStyle w:val="Normal"/>
        <w:spacing w:lineRule="auto" w:line="240" w:before="0" w:after="200"/>
        <w:ind w:firstLine="709"/>
        <w:contextualSpacing/>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Объект обеспечен материалами (отставание от графика выполнения работ по причине отсутствия материалов не выявлено).</w:t>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mc:AlternateContent>
          <mc:Choice Requires="wps">
            <w:drawing>
              <wp:anchor behindDoc="0" distT="0" distB="0" distL="0" distR="0" simplePos="0" locked="0" layoutInCell="1" allowOverlap="1" relativeHeight="10" wp14:anchorId="72699B18">
                <wp:simplePos x="0" y="0"/>
                <wp:positionH relativeFrom="column">
                  <wp:posOffset>-368935</wp:posOffset>
                </wp:positionH>
                <wp:positionV relativeFrom="paragraph">
                  <wp:posOffset>67945</wp:posOffset>
                </wp:positionV>
                <wp:extent cx="4658360" cy="763905"/>
                <wp:effectExtent l="0" t="0" r="28575" b="17780"/>
                <wp:wrapNone/>
                <wp:docPr id="7" name="Скругленный прямоугольник 10"/>
                <a:graphic xmlns:a="http://schemas.openxmlformats.org/drawingml/2006/main">
                  <a:graphicData uri="http://schemas.microsoft.com/office/word/2010/wordprocessingShape">
                    <wps:wsp>
                      <wps:cNvSpPr/>
                      <wps:spPr>
                        <a:xfrm>
                          <a:off x="0" y="0"/>
                          <a:ext cx="4657680" cy="76320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По состоянию на 17.12.2020 строительная готовность объекта  составила 84,78 %</w:t>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Слайд 10 </w:t>
      </w:r>
    </w:p>
    <w:p>
      <w:pPr>
        <w:pStyle w:val="Normal"/>
        <w:spacing w:lineRule="auto" w:line="240" w:before="0" w:after="200"/>
        <w:ind w:firstLine="709"/>
        <w:contextualSpacing/>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sz w:val="28"/>
          <w:szCs w:val="28"/>
          <w:u w:val="single"/>
        </w:rPr>
        <w:t>Строительство объекта по</w:t>
      </w:r>
      <w:r>
        <w:rPr>
          <w:rFonts w:eastAsia="Times New Roman" w:cs="Times New Roman" w:ascii="Times New Roman" w:hAnsi="Times New Roman"/>
          <w:bCs/>
          <w:color w:val="000000"/>
          <w:sz w:val="28"/>
          <w:szCs w:val="28"/>
          <w:u w:val="single"/>
        </w:rPr>
        <w:t>ул. Якова Павлова,</w:t>
      </w:r>
    </w:p>
    <w:p>
      <w:pPr>
        <w:pStyle w:val="Normal"/>
        <w:spacing w:lineRule="auto" w:line="240" w:before="0" w:after="200"/>
        <w:ind w:firstLine="709"/>
        <w:contextualSpacing/>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По результатам закупки между 17.04.2020 был заключен муниципальный контракт с ООО «Новгородсельстрой» со сроком завершения работ – сентябрь 2020 года. Цена контракта составляет 100,87 млн. рублей. </w:t>
      </w:r>
    </w:p>
    <w:p>
      <w:pPr>
        <w:pStyle w:val="Normal"/>
        <w:spacing w:lineRule="auto" w:line="240" w:before="0" w:after="200"/>
        <w:ind w:firstLine="709"/>
        <w:contextualSpacing/>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Объект введен в эксплуатацию, получена лицензия на осуществление образовательной деятельности. Дети посещают детский сад. Работает 21 воспитатель.</w:t>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Слайд 11 </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рамках </w:t>
      </w:r>
      <w:r>
        <w:rPr>
          <w:rFonts w:cs="Times New Roman" w:ascii="Times New Roman" w:hAnsi="Times New Roman"/>
          <w:b/>
          <w:color w:val="000000"/>
          <w:sz w:val="28"/>
          <w:szCs w:val="28"/>
        </w:rPr>
        <w:t>НП Демография</w:t>
      </w:r>
      <w:r>
        <w:rPr>
          <w:rFonts w:cs="Times New Roman" w:ascii="Times New Roman" w:hAnsi="Times New Roman"/>
          <w:color w:val="000000"/>
          <w:sz w:val="28"/>
          <w:szCs w:val="28"/>
        </w:rPr>
        <w:t xml:space="preserve"> реализуется федеральный проект «Спорт-норма жизни».</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color w:val="000000"/>
          <w:sz w:val="28"/>
          <w:szCs w:val="28"/>
        </w:rPr>
        <w:t xml:space="preserve">Целью этого проекта ставится </w:t>
      </w:r>
      <w:r>
        <w:rPr>
          <w:rFonts w:cs="Times New Roman" w:ascii="Times New Roman" w:hAnsi="Times New Roman"/>
          <w:bCs/>
          <w:color w:val="000000"/>
          <w:sz w:val="28"/>
          <w:szCs w:val="28"/>
        </w:rPr>
        <w:t>увеличение к 2024 году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в том числе вовлечение в подготовку и выполнение нормативов ГТО.</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Проект реализуется по двум направлениям: подготовка спортивного резерва и развитие массового спорта. </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По направлению подготовка спортивного резерва в текущем году финансируется «Спортивная школа олимпийского резерва № 4» по базовому олимпийскому виду спорта «Спортивная борьба».</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Средства проекта в сумме 572,1 тыс. рублей направлены на:</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тренировочные мероприятия — 300,5 тыс. рублей (г. Кисловодск, г. Сочи);</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соревнования — 8,7 тыс. рублей (г. Санкт-Петербург);</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приобретение инвентаря, оборудования и экипировки — 262,9 тыс. руб.</w:t>
      </w:r>
    </w:p>
    <w:p>
      <w:pPr>
        <w:pStyle w:val="Normal"/>
        <w:spacing w:lineRule="auto" w:line="240" w:before="0" w:after="20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20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Слайд 12</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целях развития массового спорта в рамках федерального проекта «Спорт-норма жизни» ведется строительство физкультурно-оздоровительного комплекса (ФОК) на ул. Вересова.</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pacing w:val="2"/>
          <w:sz w:val="28"/>
          <w:szCs w:val="28"/>
        </w:rPr>
        <w:t xml:space="preserve">По результатам торгов 31.03.2020 заключен муниципальный контракт ООО «Спецтехкомплект» </w:t>
      </w:r>
      <w:r>
        <w:rPr>
          <w:rFonts w:cs="Times New Roman" w:ascii="Times New Roman" w:hAnsi="Times New Roman"/>
          <w:color w:val="000000"/>
          <w:sz w:val="28"/>
          <w:szCs w:val="28"/>
        </w:rPr>
        <w:t xml:space="preserve">со сроком завершения работ 30.10.2021. </w:t>
      </w:r>
      <w:r>
        <w:rPr>
          <w:rFonts w:cs="Times New Roman" w:ascii="Times New Roman" w:hAnsi="Times New Roman"/>
          <w:color w:val="000000"/>
          <w:spacing w:val="2"/>
          <w:sz w:val="28"/>
          <w:szCs w:val="28"/>
        </w:rPr>
        <w:t xml:space="preserve">Цена контракта составляет 126,51 млн. рублей, в т.ч. в том числе обязательства 2020 года — 63 893,0 тыс. рублей; обязательства 2021 года – 62 620,0 тыс. руб. </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Строительная готовность объекта на 01.12.2020 составляет 30,2 %.</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color w:val="000000"/>
          <w:sz w:val="28"/>
          <w:szCs w:val="28"/>
        </w:rPr>
        <w:t>Объект обеспечен материалами (отставания от графика выполнения работ по причине</w:t>
      </w:r>
      <w:r>
        <w:rPr>
          <w:rFonts w:cs="Times New Roman" w:ascii="Times New Roman" w:hAnsi="Times New Roman"/>
          <w:bCs/>
          <w:color w:val="000000"/>
          <w:sz w:val="28"/>
          <w:szCs w:val="28"/>
        </w:rPr>
        <w:t xml:space="preserve"> отсутствия материалов не выявлено).</w:t>
      </w:r>
    </w:p>
    <w:p>
      <w:pPr>
        <w:pStyle w:val="Normal"/>
        <w:spacing w:lineRule="auto" w:line="240" w:before="0" w:after="200"/>
        <w:ind w:firstLine="709"/>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Слайд 13</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По состоянию на 01.12.2020 освоение средств в целом по реализации данного проекта с учетом полученной экономии по результатам аукционов составило в общей сумме 30 281,9 тыс. рублей. Отдельно по направлениям использование ресурсов представлено на слайде.</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mc:AlternateContent>
          <mc:Choice Requires="wps">
            <w:drawing>
              <wp:anchor behindDoc="0" distT="0" distB="0" distL="0" distR="0" simplePos="0" locked="0" layoutInCell="1" allowOverlap="1" relativeHeight="8" wp14:anchorId="638DBF9F">
                <wp:simplePos x="0" y="0"/>
                <wp:positionH relativeFrom="column">
                  <wp:posOffset>-541020</wp:posOffset>
                </wp:positionH>
                <wp:positionV relativeFrom="paragraph">
                  <wp:posOffset>78740</wp:posOffset>
                </wp:positionV>
                <wp:extent cx="4658360" cy="763905"/>
                <wp:effectExtent l="0" t="0" r="28575" b="17780"/>
                <wp:wrapNone/>
                <wp:docPr id="9" name="Скругленный прямоугольник 8"/>
                <a:graphic xmlns:a="http://schemas.openxmlformats.org/drawingml/2006/main">
                  <a:graphicData uri="http://schemas.microsoft.com/office/word/2010/wordprocessingShape">
                    <wps:wsp>
                      <wps:cNvSpPr/>
                      <wps:spPr>
                        <a:xfrm>
                          <a:off x="0" y="0"/>
                          <a:ext cx="4657680" cy="76320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 xml:space="preserve">Строительная готовность объекта на 17.12.2020  составляет 37,0 %  </w:t>
                            </w:r>
                          </w:p>
                          <w:p>
                            <w:pPr>
                              <w:pStyle w:val="Style21"/>
                              <w:spacing w:lineRule="atLeast" w:line="160" w:before="0" w:after="0"/>
                              <w:contextualSpacing/>
                              <w:rPr>
                                <w:color w:val="000000"/>
                              </w:rPr>
                            </w:pPr>
                            <w:r>
                              <w:rPr>
                                <w:color w:val="000000"/>
                              </w:rPr>
                              <w:t>По состоянию на 17.12.2020 освоено  средств при строительстве ФОК на Вересова    38335,8 тыс. руб , что составляет  59%.</w:t>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1"/>
        <w:widowControl/>
        <w:spacing w:before="0" w:after="0"/>
        <w:ind w:firstLine="709"/>
        <w:contextualSpacing/>
        <w:jc w:val="both"/>
        <w:rPr>
          <w:b/>
          <w:b/>
          <w:bCs/>
          <w:color w:val="000000"/>
          <w:sz w:val="28"/>
          <w:szCs w:val="28"/>
        </w:rPr>
      </w:pPr>
      <w:r>
        <w:rPr>
          <w:b/>
          <w:bCs/>
          <w:color w:val="000000"/>
          <w:sz w:val="28"/>
          <w:szCs w:val="28"/>
        </w:rPr>
        <w:t xml:space="preserve">Слайд 14 </w:t>
      </w:r>
    </w:p>
    <w:p>
      <w:pPr>
        <w:pStyle w:val="11"/>
        <w:widowControl/>
        <w:spacing w:before="0" w:after="0"/>
        <w:ind w:firstLine="709"/>
        <w:contextualSpacing/>
        <w:jc w:val="both"/>
        <w:rPr>
          <w:bCs/>
          <w:color w:val="000000"/>
          <w:sz w:val="28"/>
          <w:szCs w:val="28"/>
        </w:rPr>
      </w:pPr>
      <w:r>
        <w:rPr>
          <w:bCs/>
          <w:color w:val="000000"/>
          <w:sz w:val="28"/>
          <w:szCs w:val="28"/>
        </w:rPr>
        <w:t>В рамках реализации Федерального проекта «Дорожная сеть» на 2020 год был запланирован ремонт 43 участков автомобильных дорог общей протяженностью 37,2 км.</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bCs/>
          <w:color w:val="000000"/>
          <w:sz w:val="28"/>
          <w:szCs w:val="28"/>
        </w:rPr>
        <w:t>В 2020 году основные работы выполняют 7 подрядных организаций ООО «СитиКом», ООО «Строй-Капитал», ООО «АвтоСпецМеханика», ООО «Солид», АО «СМУ-57», ООО "Экосервис", ООО "Легионстрой".</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Было заключено 10 (десять) контрактов, из них три контракта на ремонт 7 (семи) участков автомобильных дорог заключены за счет экономии денежных средств по результатам проведения конкурсных процедур. </w:t>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Слайд 15</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bCs/>
          <w:color w:val="000000"/>
          <w:sz w:val="28"/>
          <w:szCs w:val="28"/>
        </w:rPr>
        <w:t xml:space="preserve">На осуществление указанных мероприятий выделено 462,27 млн. руб. </w:t>
      </w:r>
      <w:r>
        <w:rPr>
          <w:rFonts w:cs="Times New Roman" w:ascii="Times New Roman" w:hAnsi="Times New Roman"/>
          <w:color w:val="000000"/>
          <w:sz w:val="28"/>
          <w:szCs w:val="28"/>
        </w:rPr>
        <w:t>в том числе средства федерального бюджета - 405,0 млн. рублей, областного бюджета - 56,69 млн. рублей, местного бюджета - 0,58 млн. рублей.</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По состоянию на 01.12.2020 работы выполнены в полном объеме. Идет приемка объектов.</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mc:AlternateContent>
          <mc:Choice Requires="wps">
            <w:drawing>
              <wp:anchor behindDoc="0" distT="0" distB="0" distL="0" distR="0" simplePos="0" locked="0" layoutInCell="1" allowOverlap="1" relativeHeight="7" wp14:anchorId="6897E354">
                <wp:simplePos x="0" y="0"/>
                <wp:positionH relativeFrom="column">
                  <wp:posOffset>-476250</wp:posOffset>
                </wp:positionH>
                <wp:positionV relativeFrom="paragraph">
                  <wp:posOffset>142875</wp:posOffset>
                </wp:positionV>
                <wp:extent cx="4658360" cy="763905"/>
                <wp:effectExtent l="0" t="0" r="28575" b="17780"/>
                <wp:wrapNone/>
                <wp:docPr id="11" name="Скругленный прямоугольник 7"/>
                <a:graphic xmlns:a="http://schemas.openxmlformats.org/drawingml/2006/main">
                  <a:graphicData uri="http://schemas.microsoft.com/office/word/2010/wordprocessingShape">
                    <wps:wsp>
                      <wps:cNvSpPr/>
                      <wps:spPr>
                        <a:xfrm>
                          <a:off x="0" y="0"/>
                          <a:ext cx="4657680" cy="76320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 xml:space="preserve"> </w:t>
                            </w:r>
                            <w:r>
                              <w:rPr>
                                <w:color w:val="000000"/>
                              </w:rPr>
                              <w:t xml:space="preserve">По состоянию на 17.12.2020 освоение средств  370870,10 тыс. руб, </w:t>
                            </w:r>
                          </w:p>
                          <w:p>
                            <w:pPr>
                              <w:pStyle w:val="Style21"/>
                              <w:spacing w:lineRule="atLeast" w:line="160" w:before="0" w:after="0"/>
                              <w:contextualSpacing/>
                              <w:rPr>
                                <w:color w:val="000000"/>
                              </w:rPr>
                            </w:pPr>
                            <w:r>
                              <w:rPr>
                                <w:color w:val="000000"/>
                              </w:rPr>
                              <w:t>что составляет 80,2  %.</w:t>
                            </w:r>
                          </w:p>
                          <w:p>
                            <w:pPr>
                              <w:pStyle w:val="Style21"/>
                              <w:spacing w:lineRule="atLeast" w:line="160" w:before="0" w:after="0"/>
                              <w:contextualSpacing/>
                              <w:rPr>
                                <w:color w:val="000000"/>
                              </w:rPr>
                            </w:pPr>
                            <w:r>
                              <w:rPr>
                                <w:color w:val="000000"/>
                              </w:rPr>
                              <w:t>К концу 2020 года  гарантируют 100 % кассовое исполнение.</w:t>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Слайд 16 </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В рамках НП «Жилье и городская среда» осуществлялась реализация федерального проекта «Формирование комфортной городской среды».</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Работа велась по двум направлениям:</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благоустройство дворовых территорий многоквартирных домов Великого Новгорода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и благоустройство общественных территорий Великого Новгорода.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Что касается дворовых территорий. В 2020 году мы планировали благоустроить 53 дворовые территории, общий объем финансирования составляет 68,74 млн. руб., из них 44,58 млн. руб. - средства федерального и областного бюджетов, средства бюджета Великого Новгорода - 12,77 млн. руб., средства собственников помещений - 11,4 млн. руб.</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Основные работы выполняли 3 подрядные организации ООО «Строй-М», ООО «Строй-Капитал»,  ООО «МВК». По состоянию на 1 декабря текущего года все работы по благоустройству дворовых территорий, отремонтировано 35 тыс. кв. м. асфальтового покрытия. </w:t>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
          <w:bCs/>
          <w:color w:val="000000"/>
          <w:sz w:val="28"/>
          <w:szCs w:val="28"/>
        </w:rPr>
        <w:t>Слайд 17</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Что касается общественных территорий, то в планах 2020 года было продолжение работ по благоустройству 4 парков Юности, Веряжский, Луговой, парк 30 лет Октября и разработка ПСД на работы по благоустройству сквера Памяти. </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Общий объем финансирования составил  56,25 млн. руб., из них 44,58 млн. руб. - средства федерального и областного бюджетов, средства бюджета Великого Новгорода - 11,67 млн. руб. </w:t>
      </w:r>
    </w:p>
    <w:p>
      <w:pPr>
        <w:pStyle w:val="Normal"/>
        <w:spacing w:lineRule="auto" w:line="240" w:before="0" w:after="200"/>
        <w:ind w:firstLine="709"/>
        <w:contextualSpacing/>
        <w:jc w:val="both"/>
        <w:rPr>
          <w:rFonts w:ascii="Times New Roman" w:hAnsi="Times New Roman" w:cs="Times New Roman"/>
          <w:bCs/>
          <w:color w:val="000000"/>
          <w:sz w:val="28"/>
          <w:szCs w:val="28"/>
          <w:u w:val="single"/>
        </w:rPr>
      </w:pPr>
      <w:r>
        <w:rPr>
          <w:rFonts w:cs="Times New Roman" w:ascii="Times New Roman" w:hAnsi="Times New Roman"/>
          <w:bCs/>
          <w:color w:val="000000"/>
          <w:sz w:val="28"/>
          <w:szCs w:val="28"/>
          <w:u w:val="single"/>
        </w:rPr>
        <w:t>По состоянию на 01.12.2020 года: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Парк Луговой - подрядчиком выполнены работы по устройству фотозоны, устройству асфальтового покрытия детской площадки, устройству дорожек из асфальтового покрытия, выполнено мощение дорожек, выполнено устройство деревянной набережной, установлены детская и спортивная площадки. Выполнено 100 % от запланированных работ. </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Парк Юности - подрядчиком выполнены работы по устройству резинового покрытия спортивной площадки, установлены уличные светильники, выполнены работы  по укладке тротуарной плитки, выполнена большая часть работ по озеленению. Выполнено 100 % от запланированных работ.</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Парк 30 лет Октября - установлены и подключены светильники, закуплено  оборудование детской площадки, реализован план по обеспечению сохранности объектов культурного наследия к проекту устройства сети наружного освещения и пешеходных дорожек, выполнено асфальтирование пешеходных дорожек. Выполнено 95 % от запланированных работ. Осталось  нанести резиновое покрытие и завершить ремонт памятника.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Парк Веряжский - подрядчиком выполняются общие подготовительные работы, выполнены подготовительные работы по устройству карманов для скамеек, выполнено озеленение, установлены МАФ.</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Выполнено 100 % от запланированных работ.</w:t>
      </w:r>
    </w:p>
    <w:p>
      <w:pPr>
        <w:pStyle w:val="Normal"/>
        <w:tabs>
          <w:tab w:val="clear" w:pos="708"/>
          <w:tab w:val="left" w:pos="7844" w:leader="none"/>
        </w:tabs>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Сквер Памяти - разработана проектная документация на благоустройство. </w:t>
      </w:r>
    </w:p>
    <w:p>
      <w:pPr>
        <w:pStyle w:val="Normal"/>
        <w:tabs>
          <w:tab w:val="clear" w:pos="708"/>
          <w:tab w:val="left" w:pos="7844" w:leader="none"/>
        </w:tabs>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Разработан и согласован с общественностью макет памятника жертвам политических репрессий. Выполнено 100 % от запланированных работ.</w:t>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Слайд 18</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По состоянию на 01.12.2020 года освоение денежных средств выделенных на реализацию федерального проекта «Формирование комфортной городской среды» составило 86,7 %. Сегодня можно говорить о 100 процентном освоении денежных средств.</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mc:AlternateContent>
          <mc:Choice Requires="wps">
            <w:drawing>
              <wp:anchor behindDoc="0" distT="0" distB="0" distL="0" distR="0" simplePos="0" locked="0" layoutInCell="1" allowOverlap="1" relativeHeight="6" wp14:anchorId="0F6DB8F6">
                <wp:simplePos x="0" y="0"/>
                <wp:positionH relativeFrom="column">
                  <wp:posOffset>-476885</wp:posOffset>
                </wp:positionH>
                <wp:positionV relativeFrom="paragraph">
                  <wp:posOffset>79375</wp:posOffset>
                </wp:positionV>
                <wp:extent cx="4658360" cy="764540"/>
                <wp:effectExtent l="0" t="0" r="28575" b="17780"/>
                <wp:wrapNone/>
                <wp:docPr id="13" name="Скругленный прямоугольник 6"/>
                <a:graphic xmlns:a="http://schemas.openxmlformats.org/drawingml/2006/main">
                  <a:graphicData uri="http://schemas.microsoft.com/office/word/2010/wordprocessingShape">
                    <wps:wsp>
                      <wps:cNvSpPr/>
                      <wps:spPr>
                        <a:xfrm>
                          <a:off x="0" y="0"/>
                          <a:ext cx="4657680" cy="76392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rFonts w:cs="Calibri" w:cstheme="minorHAnsi"/>
                              </w:rPr>
                            </w:pPr>
                            <w:r>
                              <w:rPr/>
                              <w:t xml:space="preserve"> </w:t>
                            </w:r>
                            <w:r>
                              <w:rPr>
                                <w:rFonts w:cs="Calibri" w:cstheme="minorHAnsi"/>
                              </w:rPr>
                              <w:t xml:space="preserve">По состоянию на 17.12.2020 освоение средств по </w:t>
                            </w:r>
                            <w:r>
                              <w:rPr>
                                <w:rFonts w:cs="Calibri" w:cstheme="minorHAnsi"/>
                                <w:bCs/>
                                <w:color w:val="000000"/>
                              </w:rPr>
                              <w:t xml:space="preserve">направлению «Формирование комфортной городской среды» </w:t>
                            </w:r>
                            <w:r>
                              <w:rPr>
                                <w:rFonts w:cs="Calibri" w:cstheme="minorHAnsi"/>
                              </w:rPr>
                              <w:t xml:space="preserve"> 105548,68 тыс. руб , </w:t>
                            </w:r>
                          </w:p>
                          <w:p>
                            <w:pPr>
                              <w:pStyle w:val="Style21"/>
                              <w:spacing w:lineRule="atLeast" w:line="160" w:before="0" w:after="0"/>
                              <w:contextualSpacing/>
                              <w:rPr/>
                            </w:pPr>
                            <w:r>
                              <w:rPr>
                                <w:rFonts w:cs="Calibri" w:cstheme="minorHAnsi"/>
                              </w:rPr>
                              <w:t>что составляет 93 %.</w:t>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Слайд 19</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Также в рамках </w:t>
      </w:r>
      <w:r>
        <w:rPr>
          <w:rFonts w:cs="Times New Roman" w:ascii="Times New Roman" w:hAnsi="Times New Roman"/>
          <w:b/>
          <w:bCs/>
          <w:color w:val="000000"/>
          <w:sz w:val="28"/>
          <w:szCs w:val="28"/>
        </w:rPr>
        <w:t>НП «Жилье и городская среда»</w:t>
      </w:r>
      <w:r>
        <w:rPr>
          <w:rFonts w:cs="Times New Roman" w:ascii="Times New Roman" w:hAnsi="Times New Roman"/>
          <w:bCs/>
          <w:color w:val="000000"/>
          <w:sz w:val="28"/>
          <w:szCs w:val="28"/>
        </w:rPr>
        <w:t xml:space="preserve"> реализуется федеральный проект «Жилье».</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Целью этого проекта является увеличение объема жилищного строительства.</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В рамках реализации федерального проекта осуществляется реконструкция автомобильной дороги Псковской ул., на участке от Речной ул. до мостового перехода р. Веряжа (с устройством бордюров, тротуаров, велодорожек с обеих сторон, ливневой канализации и наружного освещения).</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color w:val="000000"/>
          <w:spacing w:val="2"/>
          <w:sz w:val="28"/>
          <w:szCs w:val="28"/>
        </w:rPr>
        <w:t xml:space="preserve">По результатам торгов 05.03.2020 был заключен муниципальный </w:t>
      </w:r>
      <w:r>
        <w:rPr>
          <w:rFonts w:cs="Times New Roman" w:ascii="Times New Roman" w:hAnsi="Times New Roman"/>
          <w:bCs/>
          <w:color w:val="000000"/>
          <w:sz w:val="28"/>
          <w:szCs w:val="28"/>
        </w:rPr>
        <w:t>контракт с ООО «ТрэкСервис» (г. Великий Новгород) со сроком завершения работ - декабрь 2020. Цена контракта составляет 224,8 млн. рублей.</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Строительная готовность объекта по состоянию на 01.12.2020 составила 74,1 %. </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Также в рамках строительства объекта был заключен договор на оказание услуг по выносу электрических сетей на сумму 32,67  млн. рублей. Сети вынесены, ведутся пусконаладочные работы.</w:t>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200"/>
        <w:ind w:firstLine="709"/>
        <w:contextualSpacing/>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Слайд 20</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Информация об освоении денежных средств на строительстве объекта представлена на слайде.</w: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mc:AlternateContent>
          <mc:Choice Requires="wps">
            <w:drawing>
              <wp:anchor behindDoc="0" distT="0" distB="0" distL="0" distR="0" simplePos="0" locked="0" layoutInCell="1" allowOverlap="1" relativeHeight="4" wp14:anchorId="79853CEB">
                <wp:simplePos x="0" y="0"/>
                <wp:positionH relativeFrom="column">
                  <wp:posOffset>-391160</wp:posOffset>
                </wp:positionH>
                <wp:positionV relativeFrom="paragraph">
                  <wp:posOffset>75565</wp:posOffset>
                </wp:positionV>
                <wp:extent cx="5035550" cy="1786255"/>
                <wp:effectExtent l="0" t="0" r="13970" b="24130"/>
                <wp:wrapNone/>
                <wp:docPr id="15" name="Скругленный прямоугольник 4"/>
                <a:graphic xmlns:a="http://schemas.openxmlformats.org/drawingml/2006/main">
                  <a:graphicData uri="http://schemas.microsoft.com/office/word/2010/wordprocessingShape">
                    <wps:wsp>
                      <wps:cNvSpPr/>
                      <wps:spPr>
                        <a:xfrm>
                          <a:off x="0" y="0"/>
                          <a:ext cx="5034960" cy="1785600"/>
                        </a:xfrm>
                        <a:prstGeom prst="roundRect">
                          <a:avLst>
                            <a:gd name="adj" fmla="val 8458"/>
                          </a:avLst>
                        </a:prstGeom>
                        <a:ln>
                          <a:round/>
                        </a:ln>
                      </wps:spPr>
                      <wps:style>
                        <a:lnRef idx="2">
                          <a:schemeClr val="accent6"/>
                        </a:lnRef>
                        <a:fillRef idx="1">
                          <a:schemeClr val="lt1"/>
                        </a:fillRef>
                        <a:effectRef idx="0">
                          <a:schemeClr val="accent6"/>
                        </a:effectRef>
                        <a:fontRef idx="minor"/>
                      </wps:style>
                      <wps:txbx>
                        <w:txbxContent>
                          <w:p>
                            <w:pPr>
                              <w:pStyle w:val="Style21"/>
                              <w:spacing w:lineRule="atLeast" w:line="160" w:before="0" w:after="0"/>
                              <w:contextualSpacing/>
                              <w:rPr>
                                <w:color w:val="000000"/>
                              </w:rPr>
                            </w:pPr>
                            <w:r>
                              <w:rPr>
                                <w:color w:val="000000"/>
                              </w:rPr>
                              <w:t xml:space="preserve">На 17.12.2020 строительная готовность объекта 83 % </w:t>
                            </w:r>
                          </w:p>
                          <w:p>
                            <w:pPr>
                              <w:pStyle w:val="Style21"/>
                              <w:spacing w:lineRule="atLeast" w:line="160" w:before="0" w:after="0"/>
                              <w:contextualSpacing/>
                              <w:rPr>
                                <w:color w:val="000000"/>
                              </w:rPr>
                            </w:pPr>
                            <w:r>
                              <w:rPr>
                                <w:color w:val="000000"/>
                              </w:rPr>
                              <w:t>Освоение средств на 17.12.2020 составляет 196398,9 тыс.руб.  ( 74,9 %)</w:t>
                            </w:r>
                          </w:p>
                          <w:p>
                            <w:pPr>
                              <w:pStyle w:val="Style21"/>
                              <w:spacing w:lineRule="atLeast" w:line="160" w:before="0" w:after="0"/>
                              <w:contextualSpacing/>
                              <w:rPr>
                                <w:color w:val="000000"/>
                              </w:rPr>
                            </w:pPr>
                            <w:r>
                              <w:rPr>
                                <w:color w:val="000000"/>
                              </w:rPr>
                            </w:r>
                          </w:p>
                          <w:p>
                            <w:pPr>
                              <w:pStyle w:val="Style21"/>
                              <w:spacing w:lineRule="atLeast" w:line="160" w:before="0" w:after="0"/>
                              <w:contextualSpacing/>
                              <w:rPr>
                                <w:color w:val="000000"/>
                              </w:rPr>
                            </w:pPr>
                            <w:r>
                              <w:rPr>
                                <w:color w:val="000000"/>
                              </w:rPr>
                              <w:t>!!! для справки  Целевым показателем ,установленным  соглашением на выделении субсидии является ввод жилья в Псковском микрорайоне в количестве 43000 кв. м. На сегодняшний день Деловой партнер сдал (сдаст до конца года) 27600 тыс. кв.м.  жилья. Ввод Аркажей 16000 кв.м ,которые ставили в план на 2020 год , переносится на неопределенный период. Соответственно высокий риск невыполнения показателя.</w:t>
                            </w:r>
                          </w:p>
                          <w:p>
                            <w:pPr>
                              <w:pStyle w:val="Style21"/>
                              <w:spacing w:lineRule="atLeast" w:line="160" w:before="0" w:after="0"/>
                              <w:contextualSpacing/>
                              <w:rPr>
                                <w:color w:val="000000"/>
                              </w:rPr>
                            </w:pPr>
                            <w:r>
                              <w:rPr>
                                <w:color w:val="000000"/>
                              </w:rPr>
                              <w:t>Но ! по предварительной договоренности с минстроем  (</w:t>
                            </w:r>
                            <w:r>
                              <w:rPr>
                                <w:b/>
                                <w:color w:val="000000"/>
                              </w:rPr>
                              <w:t>Жилин, Середняков в курсе</w:t>
                            </w:r>
                            <w:r>
                              <w:rPr>
                                <w:color w:val="000000"/>
                              </w:rPr>
                              <w:t>) недостающие метры обещали закрыть вводом жилья на ул. Кочетова ) 17785 кв.м.</w:t>
                            </w:r>
                          </w:p>
                          <w:p>
                            <w:pPr>
                              <w:pStyle w:val="Style21"/>
                              <w:spacing w:lineRule="atLeast" w:line="160" w:before="0" w:after="0"/>
                              <w:contextualSpacing/>
                              <w:rPr>
                                <w:color w:val="000000"/>
                              </w:rPr>
                            </w:pPr>
                            <w:r>
                              <w:rPr>
                                <w:color w:val="000000"/>
                              </w:rPr>
                            </w:r>
                          </w:p>
                        </w:txbxContent>
                      </wps:txbx>
                      <wps:bodyPr anchor="ctr">
                        <a:prstTxWarp prst="textNoShape"/>
                        <a:noAutofit/>
                      </wps:bodyPr>
                    </wps:wsp>
                  </a:graphicData>
                </a:graphic>
              </wp:anchor>
            </w:drawing>
          </mc:Choice>
          <mc:Fallback>
            <w:pict/>
          </mc:Fallback>
        </mc:AlternateContent>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200"/>
        <w:ind w:firstLine="709"/>
        <w:contextualSpacing/>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11"/>
        <w:widowControl/>
        <w:spacing w:before="0" w:after="0"/>
        <w:ind w:firstLine="709"/>
        <w:contextualSpacing/>
        <w:jc w:val="both"/>
        <w:rPr>
          <w:b/>
          <w:b/>
          <w:sz w:val="28"/>
          <w:szCs w:val="28"/>
        </w:rPr>
      </w:pPr>
      <w:r>
        <w:rPr>
          <w:b/>
          <w:sz w:val="28"/>
          <w:szCs w:val="28"/>
        </w:rPr>
      </w:r>
    </w:p>
    <w:p>
      <w:pPr>
        <w:pStyle w:val="11"/>
        <w:widowControl/>
        <w:spacing w:before="0" w:after="0"/>
        <w:ind w:firstLine="709"/>
        <w:contextualSpacing/>
        <w:jc w:val="both"/>
        <w:rPr>
          <w:b/>
          <w:b/>
          <w:sz w:val="28"/>
          <w:szCs w:val="28"/>
        </w:rPr>
      </w:pPr>
      <w:r>
        <w:rPr>
          <w:b/>
          <w:sz w:val="28"/>
          <w:szCs w:val="28"/>
        </w:rPr>
      </w:r>
    </w:p>
    <w:p>
      <w:pPr>
        <w:pStyle w:val="11"/>
        <w:widowControl/>
        <w:spacing w:before="0" w:after="0"/>
        <w:ind w:firstLine="709"/>
        <w:contextualSpacing/>
        <w:jc w:val="both"/>
        <w:rPr>
          <w:b/>
          <w:b/>
          <w:sz w:val="28"/>
          <w:szCs w:val="28"/>
        </w:rPr>
      </w:pPr>
      <w:r>
        <w:rPr>
          <w:b/>
          <w:sz w:val="28"/>
          <w:szCs w:val="28"/>
        </w:rPr>
        <w:t>Слайд 21</w:t>
      </w:r>
    </w:p>
    <w:p>
      <w:pPr>
        <w:pStyle w:val="11"/>
        <w:widowControl/>
        <w:spacing w:before="0" w:after="0"/>
        <w:ind w:firstLine="709"/>
        <w:contextualSpacing/>
        <w:jc w:val="both"/>
        <w:rPr>
          <w:b/>
          <w:b/>
          <w:sz w:val="28"/>
          <w:szCs w:val="28"/>
        </w:rPr>
      </w:pPr>
      <w:r>
        <w:rPr>
          <w:b/>
          <w:sz w:val="28"/>
          <w:szCs w:val="28"/>
        </w:rPr>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современных условиях быстрыми темпами необходимо проводить модернизацию образовательной инфраструктуры. Для этих целей мы включились в реализацию федерального проекта «Информационная инфраструктура» национального проекта «Цифровая экономика». </w:t>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июле 2020 года в 14 общеобразовательных учреждений было передано оборудование для модернизации локальных вычислительных сетей в пунктах проведения ГИА (ОГЭ), данное оборудование было приобретено министерством образования Новгородской области. </w:t>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осуществления монтажа данного оборудования было выделено 11 767,9 тыс. рублей, в том числе 9 713,2 тыс. рублей из областного бюджета и 1 754,7 тыс. рублей  - из бюджета Великого Новгорода).</w:t>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Была проведена госэкспертиза ПСД на этот вид работ. На эти цели было направлено 340,0 тыс. рублей. В настоящее время в 7 ОУ ведутся монтажные и пуско-наладочные работы, в 1 ОУ - работы завершены, ведется приемка. </w:t>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mc:AlternateContent>
          <mc:Choice Requires="wps">
            <w:drawing>
              <wp:anchor behindDoc="0" distT="0" distB="0" distL="0" distR="0" simplePos="0" locked="0" layoutInCell="1" allowOverlap="1" relativeHeight="5" wp14:anchorId="310B6DBD">
                <wp:simplePos x="0" y="0"/>
                <wp:positionH relativeFrom="column">
                  <wp:posOffset>-541020</wp:posOffset>
                </wp:positionH>
                <wp:positionV relativeFrom="paragraph">
                  <wp:posOffset>111760</wp:posOffset>
                </wp:positionV>
                <wp:extent cx="4658360" cy="1000760"/>
                <wp:effectExtent l="0" t="0" r="28575" b="28575"/>
                <wp:wrapNone/>
                <wp:docPr id="17" name="Скругленный прямоугольник 5"/>
                <a:graphic xmlns:a="http://schemas.openxmlformats.org/drawingml/2006/main">
                  <a:graphicData uri="http://schemas.microsoft.com/office/word/2010/wordprocessingShape">
                    <wps:wsp>
                      <wps:cNvSpPr/>
                      <wps:spPr>
                        <a:xfrm>
                          <a:off x="0" y="0"/>
                          <a:ext cx="4657680" cy="1000080"/>
                        </a:xfrm>
                        <a:prstGeom prst="roundRect">
                          <a:avLst>
                            <a:gd name="adj" fmla="val 8458"/>
                          </a:avLst>
                        </a:prstGeom>
                        <a:solidFill>
                          <a:srgbClr val="ffffff"/>
                        </a:solidFill>
                        <a:ln w="25560">
                          <a:solidFill>
                            <a:srgbClr val="f79646"/>
                          </a:solidFill>
                          <a:round/>
                        </a:ln>
                      </wps:spPr>
                      <wps:style>
                        <a:lnRef idx="0"/>
                        <a:fillRef idx="0"/>
                        <a:effectRef idx="0"/>
                        <a:fontRef idx="minor"/>
                      </wps:style>
                      <wps:txbx>
                        <w:txbxContent>
                          <w:p>
                            <w:pPr>
                              <w:pStyle w:val="Style21"/>
                              <w:spacing w:lineRule="atLeast" w:line="160" w:before="0" w:after="0"/>
                              <w:contextualSpacing/>
                              <w:rPr/>
                            </w:pPr>
                            <w:r>
                              <w:rPr/>
                              <w:t xml:space="preserve">По состоянию на 17.12.2020   13 ОУ заключены контракты  и ведутся работы по монтажу оборудования. </w:t>
                            </w:r>
                          </w:p>
                          <w:p>
                            <w:pPr>
                              <w:pStyle w:val="Style21"/>
                              <w:spacing w:lineRule="atLeast" w:line="160" w:before="0" w:after="0"/>
                              <w:contextualSpacing/>
                              <w:rPr/>
                            </w:pPr>
                            <w:r>
                              <w:rPr/>
                              <w:t>В 1 ОУ работы завершены. Кассовое освоение не изменилось .</w:t>
                            </w:r>
                          </w:p>
                          <w:p>
                            <w:pPr>
                              <w:pStyle w:val="Style21"/>
                              <w:spacing w:lineRule="atLeast" w:line="160" w:before="0" w:after="0"/>
                              <w:contextualSpacing/>
                              <w:rPr/>
                            </w:pPr>
                            <w:r>
                              <w:rPr/>
                              <w:t>От всех ОУ участников проекта получены гарантийные письма на освоение средств и завершение монтажа до конца года</w:t>
                            </w:r>
                          </w:p>
                        </w:txbxContent>
                      </wps:txbx>
                      <wps:bodyPr anchor="ctr">
                        <a:prstTxWarp prst="textNoShape"/>
                        <a:noAutofit/>
                      </wps:bodyPr>
                    </wps:wsp>
                  </a:graphicData>
                </a:graphic>
              </wp:anchor>
            </w:drawing>
          </mc:Choice>
          <mc:Fallback>
            <w:pict/>
          </mc:Fallback>
        </mc:AlternateContent>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t>Слайд 22</w:t>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До конца года работы планируется завершить.</w:t>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200"/>
        <w:ind w:firstLine="709"/>
        <w:contextualSpacing/>
        <w:jc w:val="both"/>
        <w:rPr>
          <w:rFonts w:ascii="Times New Roman" w:hAnsi="Times New Roman" w:cs="Times New Roman"/>
          <w:sz w:val="28"/>
          <w:szCs w:val="28"/>
        </w:rPr>
      </w:pPr>
      <w:bookmarkStart w:id="1" w:name="_GoBack"/>
      <w:bookmarkEnd w:id="1"/>
      <w:r>
        <w:rPr>
          <w:rFonts w:cs="Times New Roman" w:ascii="Times New Roman" w:hAnsi="Times New Roman"/>
          <w:sz w:val="28"/>
          <w:szCs w:val="28"/>
        </w:rPr>
        <w:t>Завершая свой доклад, хочу отметить, что, не смотря на пандемию и связанные с ней сложности, Великий Новгород не отказался от запланированных приоритетных направлений развития. По одним проектам работы в этом году шли на опережение, по другим удавалось работать, не сбавляя темпы.</w:t>
      </w:r>
    </w:p>
    <w:p>
      <w:pPr>
        <w:pStyle w:val="Normal"/>
        <w:suppressAutoHyphens w:val="true"/>
        <w:spacing w:lineRule="auto" w:line="240" w:before="0" w:after="200"/>
        <w:ind w:firstLine="709"/>
        <w:contextualSpacing/>
        <w:jc w:val="both"/>
        <w:rPr/>
      </w:pPr>
      <w:r>
        <w:rPr>
          <w:rFonts w:cs="Times New Roman" w:ascii="Times New Roman" w:hAnsi="Times New Roman"/>
          <w:sz w:val="28"/>
          <w:szCs w:val="28"/>
        </w:rPr>
        <w:t>Наши планы на 2021 год – продолжение работы по национальным проектам с целью социально – экономического развития Великого Новгорода, улучшения качества жизни горожан, создания условий и возможностей для самореализации и раскрытия таланта каждого человека.</w:t>
      </w:r>
    </w:p>
    <w:sectPr>
      <w:type w:val="nextPage"/>
      <w:pgSz w:w="11906" w:h="16838"/>
      <w:pgMar w:left="1276" w:right="707" w:header="0" w:top="568"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74694"/>
    <w:rPr>
      <w:color w:val="0000FF"/>
      <w:u w:val="single"/>
    </w:rPr>
  </w:style>
  <w:style w:type="character" w:styleId="1" w:customStyle="1">
    <w:name w:val="Номер страницы1"/>
    <w:basedOn w:val="DefaultParagraphFont"/>
    <w:qFormat/>
    <w:rsid w:val="00ac7522"/>
    <w:rPr>
      <w:rFonts w:eastAsia="Times New Roman"/>
    </w:rPr>
  </w:style>
  <w:style w:type="character" w:styleId="Style15" w:customStyle="1">
    <w:name w:val="Текст выноски Знак"/>
    <w:basedOn w:val="DefaultParagraphFont"/>
    <w:link w:val="a6"/>
    <w:uiPriority w:val="99"/>
    <w:semiHidden/>
    <w:qFormat/>
    <w:rsid w:val="0026678d"/>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474694"/>
    <w:pPr>
      <w:spacing w:lineRule="auto" w:line="240" w:before="0" w:after="0"/>
      <w:ind w:left="720" w:hanging="0"/>
      <w:contextualSpacing/>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474694"/>
    <w:pPr>
      <w:spacing w:lineRule="auto" w:line="240" w:beforeAutospacing="1" w:afterAutospacing="1"/>
    </w:pPr>
    <w:rPr>
      <w:rFonts w:ascii="Times New Roman" w:hAnsi="Times New Roman" w:eastAsia="Times New Roman" w:cs="Times New Roman"/>
      <w:sz w:val="24"/>
      <w:szCs w:val="24"/>
    </w:rPr>
  </w:style>
  <w:style w:type="paragraph" w:styleId="11" w:customStyle="1">
    <w:name w:val="Обычный1"/>
    <w:qFormat/>
    <w:rsid w:val="00324170"/>
    <w:pPr>
      <w:widowControl w:val="false"/>
      <w:suppressAutoHyphens w:val="true"/>
      <w:bidi w:val="0"/>
      <w:spacing w:lineRule="auto" w:line="240" w:before="20" w:after="20"/>
      <w:jc w:val="left"/>
    </w:pPr>
    <w:rPr>
      <w:rFonts w:ascii="Times New Roman" w:hAnsi="Times New Roman" w:eastAsia="Times New Roman" w:cs="Times New Roman"/>
      <w:color w:val="auto"/>
      <w:kern w:val="0"/>
      <w:sz w:val="24"/>
      <w:szCs w:val="20"/>
      <w:lang w:eastAsia="zh-CN" w:val="ru-RU" w:bidi="ar-SA"/>
    </w:rPr>
  </w:style>
  <w:style w:type="paragraph" w:styleId="BalloonText">
    <w:name w:val="Balloon Text"/>
    <w:basedOn w:val="Normal"/>
    <w:link w:val="a7"/>
    <w:uiPriority w:val="99"/>
    <w:semiHidden/>
    <w:unhideWhenUsed/>
    <w:qFormat/>
    <w:rsid w:val="0026678d"/>
    <w:pPr>
      <w:spacing w:lineRule="auto" w:line="240" w:before="0" w:after="0"/>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g.ru/2018/05/08/president-ukaz204-site-dok.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DCA8-083A-4CB6-B673-F3D07992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LibreOffice/6.3.0.4$Windows_x86 LibreOffice_project/057fc023c990d676a43019934386b85b21a9ee99</Application>
  <Pages>9</Pages>
  <Words>2016</Words>
  <Characters>13017</Characters>
  <CharactersWithSpaces>14992</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2020-12-17T11:13:00Z</dcterms:created>
  <dc:creator>333</dc:creator>
  <dc:description/>
  <dc:language>ru-RU</dc:language>
  <cp:lastModifiedBy>Малиновская Ольга Петровна</cp:lastModifiedBy>
  <cp:lastPrinted>2020-12-17T08:33:00Z</cp:lastPrinted>
  <dcterms:modified xsi:type="dcterms:W3CDTF">2020-12-17T14:36:00Z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